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D8" w:rsidRPr="007074AD" w:rsidRDefault="00764C06" w:rsidP="00764C06">
      <w:pPr>
        <w:pStyle w:val="Body1"/>
        <w:jc w:val="center"/>
        <w:rPr>
          <w:rFonts w:ascii="Arial" w:hAnsi="Arial"/>
          <w:sz w:val="22"/>
        </w:rPr>
      </w:pPr>
      <w:r w:rsidRPr="007074AD">
        <w:rPr>
          <w:rFonts w:ascii="Arial" w:eastAsia="Helvetica" w:hAnsi="Arial"/>
          <w:sz w:val="22"/>
        </w:rPr>
        <w:t>General Education Committee</w:t>
      </w:r>
    </w:p>
    <w:p w:rsidR="007B03D8" w:rsidRPr="007074AD" w:rsidRDefault="007B03D8" w:rsidP="00764C06">
      <w:pPr>
        <w:pStyle w:val="Body1"/>
        <w:jc w:val="center"/>
        <w:rPr>
          <w:rFonts w:ascii="Arial" w:hAnsi="Arial"/>
          <w:sz w:val="22"/>
        </w:rPr>
      </w:pPr>
      <w:r w:rsidRPr="007074AD">
        <w:rPr>
          <w:rFonts w:ascii="Arial" w:eastAsia="Helvetica" w:hAnsi="Arial"/>
          <w:sz w:val="22"/>
        </w:rPr>
        <w:t xml:space="preserve">March </w:t>
      </w:r>
      <w:r w:rsidR="00137956">
        <w:rPr>
          <w:rFonts w:ascii="Arial" w:eastAsia="Helvetica" w:hAnsi="Arial"/>
          <w:sz w:val="22"/>
        </w:rPr>
        <w:t xml:space="preserve">16 </w:t>
      </w:r>
      <w:r w:rsidRPr="007074AD">
        <w:rPr>
          <w:rFonts w:ascii="Arial" w:eastAsia="Helvetica" w:hAnsi="Arial"/>
          <w:sz w:val="22"/>
        </w:rPr>
        <w:t>2012</w:t>
      </w:r>
    </w:p>
    <w:p w:rsidR="007B03D8" w:rsidRPr="007074AD" w:rsidRDefault="00764C06" w:rsidP="00764C06">
      <w:pPr>
        <w:pStyle w:val="Body1"/>
        <w:jc w:val="center"/>
        <w:rPr>
          <w:rFonts w:ascii="Arial" w:hAnsi="Arial"/>
          <w:sz w:val="22"/>
        </w:rPr>
      </w:pPr>
      <w:r w:rsidRPr="007074AD">
        <w:rPr>
          <w:rFonts w:ascii="Arial" w:eastAsia="Helvetica" w:hAnsi="Arial"/>
          <w:sz w:val="22"/>
        </w:rPr>
        <w:t>Minutes</w:t>
      </w:r>
    </w:p>
    <w:p w:rsidR="007B03D8" w:rsidRPr="007074AD" w:rsidRDefault="007B03D8" w:rsidP="00764C06">
      <w:pPr>
        <w:pStyle w:val="Body1"/>
        <w:jc w:val="center"/>
        <w:rPr>
          <w:rFonts w:ascii="Arial" w:hAnsi="Arial"/>
          <w:sz w:val="22"/>
        </w:rPr>
      </w:pPr>
    </w:p>
    <w:p w:rsidR="007B03D8" w:rsidRPr="007074AD" w:rsidRDefault="007B03D8" w:rsidP="007B03D8">
      <w:pPr>
        <w:rPr>
          <w:rFonts w:ascii="Arial" w:hAnsi="Arial"/>
          <w:sz w:val="22"/>
        </w:rPr>
      </w:pPr>
      <w:r w:rsidRPr="007074AD">
        <w:rPr>
          <w:rFonts w:ascii="Arial" w:eastAsia="Helvetica" w:hAnsi="Arial"/>
          <w:sz w:val="22"/>
        </w:rPr>
        <w:t xml:space="preserve">Present: </w:t>
      </w:r>
      <w:r w:rsidRPr="007074AD">
        <w:rPr>
          <w:rFonts w:ascii="Arial" w:hAnsi="Arial" w:cs="Helvetica"/>
          <w:sz w:val="22"/>
          <w:szCs w:val="36"/>
        </w:rPr>
        <w:t>Abby Thomas, Amy Schutt, Brooke Burk, Bruce Mattingly, Car</w:t>
      </w:r>
      <w:r>
        <w:rPr>
          <w:rFonts w:ascii="Arial" w:hAnsi="Arial" w:cs="Helvetica"/>
          <w:sz w:val="22"/>
          <w:szCs w:val="36"/>
        </w:rPr>
        <w:t xml:space="preserve">ol Van Der Karr, Jim Hokanson, </w:t>
      </w:r>
      <w:r w:rsidR="00D62922">
        <w:rPr>
          <w:rFonts w:ascii="Arial" w:hAnsi="Arial" w:cs="Helvetica"/>
          <w:sz w:val="22"/>
          <w:szCs w:val="36"/>
        </w:rPr>
        <w:t>Larry Klotz,</w:t>
      </w:r>
      <w:r w:rsidRPr="007074AD">
        <w:rPr>
          <w:rFonts w:ascii="Arial" w:hAnsi="Arial" w:cs="Helvetica"/>
          <w:sz w:val="22"/>
          <w:szCs w:val="36"/>
        </w:rPr>
        <w:t xml:space="preserve"> Linda Pickett</w:t>
      </w:r>
      <w:proofErr w:type="gramStart"/>
      <w:r w:rsidRPr="007074AD">
        <w:rPr>
          <w:rFonts w:ascii="Arial" w:hAnsi="Arial" w:cs="Helvetica"/>
          <w:sz w:val="22"/>
          <w:szCs w:val="36"/>
        </w:rPr>
        <w:t>,  Merle</w:t>
      </w:r>
      <w:proofErr w:type="gramEnd"/>
      <w:r w:rsidRPr="007074AD">
        <w:rPr>
          <w:rFonts w:ascii="Arial" w:hAnsi="Arial" w:cs="Helvetica"/>
          <w:sz w:val="22"/>
          <w:szCs w:val="36"/>
        </w:rPr>
        <w:t xml:space="preserve"> Canfield, Sam Kelley, </w:t>
      </w:r>
      <w:r w:rsidRPr="007074AD">
        <w:rPr>
          <w:rFonts w:ascii="Arial" w:eastAsia="Helvetica" w:hAnsi="Arial"/>
          <w:sz w:val="22"/>
        </w:rPr>
        <w:t>Alesia  Forde (student member)</w:t>
      </w:r>
    </w:p>
    <w:p w:rsidR="007B03D8" w:rsidRDefault="00764C06" w:rsidP="007B03D8">
      <w:pPr>
        <w:pStyle w:val="Body1"/>
        <w:rPr>
          <w:rFonts w:ascii="Arial" w:eastAsia="Helvetica" w:hAnsi="Arial"/>
          <w:sz w:val="22"/>
        </w:rPr>
      </w:pPr>
      <w:r w:rsidRPr="007074AD">
        <w:rPr>
          <w:rFonts w:ascii="Arial" w:eastAsia="Helvetica" w:hAnsi="Arial"/>
          <w:sz w:val="22"/>
        </w:rPr>
        <w:t xml:space="preserve">Excused:  </w:t>
      </w:r>
      <w:proofErr w:type="spellStart"/>
      <w:r w:rsidR="007B03D8" w:rsidRPr="007074AD">
        <w:rPr>
          <w:rFonts w:ascii="Arial" w:eastAsia="Helvetica" w:hAnsi="Arial"/>
          <w:sz w:val="22"/>
        </w:rPr>
        <w:t>Annita</w:t>
      </w:r>
      <w:proofErr w:type="spellEnd"/>
      <w:r w:rsidR="007B03D8" w:rsidRPr="007074AD">
        <w:rPr>
          <w:rFonts w:ascii="Arial" w:eastAsia="Helvetica" w:hAnsi="Arial"/>
          <w:sz w:val="22"/>
        </w:rPr>
        <w:t xml:space="preserve"> Kuiken, </w:t>
      </w:r>
      <w:r w:rsidR="007B03D8" w:rsidRPr="007074AD">
        <w:rPr>
          <w:rFonts w:ascii="Arial" w:hAnsi="Arial" w:cs="Helvetica"/>
          <w:sz w:val="22"/>
          <w:szCs w:val="36"/>
        </w:rPr>
        <w:t>Orvil White</w:t>
      </w:r>
    </w:p>
    <w:p w:rsidR="007B03D8" w:rsidRPr="007074AD" w:rsidRDefault="007B03D8" w:rsidP="007B03D8">
      <w:pPr>
        <w:pStyle w:val="Body1"/>
        <w:rPr>
          <w:rFonts w:ascii="Arial" w:hAnsi="Arial"/>
          <w:sz w:val="22"/>
        </w:rPr>
      </w:pPr>
    </w:p>
    <w:tbl>
      <w:tblPr>
        <w:tblW w:w="14688" w:type="dxa"/>
        <w:tblInd w:w="-790" w:type="dxa"/>
        <w:shd w:val="clear" w:color="auto" w:fill="FFFFFF"/>
        <w:tblLayout w:type="fixed"/>
        <w:tblLook w:val="0000"/>
      </w:tblPr>
      <w:tblGrid>
        <w:gridCol w:w="4988"/>
        <w:gridCol w:w="4988"/>
        <w:gridCol w:w="4712"/>
      </w:tblGrid>
      <w:tr w:rsidR="007B03D8" w:rsidRPr="007074AD" w:rsidTr="007B03D8">
        <w:trPr>
          <w:cantSplit/>
          <w:trHeight w:val="1044"/>
        </w:trPr>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7B03D8" w:rsidRPr="007074AD" w:rsidRDefault="00764C06" w:rsidP="00764C06">
            <w:pPr>
              <w:pStyle w:val="Body1"/>
              <w:ind w:left="1728"/>
              <w:outlineLvl w:val="9"/>
              <w:rPr>
                <w:rFonts w:ascii="Arial" w:eastAsia="Times New Roman" w:hAnsi="Arial"/>
                <w:b/>
                <w:sz w:val="22"/>
              </w:rPr>
            </w:pPr>
            <w:r w:rsidRPr="007074AD">
              <w:rPr>
                <w:rFonts w:ascii="Arial" w:eastAsia="Times New Roman" w:hAnsi="Arial"/>
                <w:b/>
                <w:sz w:val="22"/>
              </w:rPr>
              <w:t>Topic</w:t>
            </w:r>
          </w:p>
        </w:tc>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7B03D8" w:rsidRPr="007074AD" w:rsidRDefault="00764C06" w:rsidP="00764C06">
            <w:pPr>
              <w:pStyle w:val="Body1"/>
              <w:outlineLvl w:val="9"/>
              <w:rPr>
                <w:rFonts w:ascii="Arial" w:eastAsia="Times New Roman" w:hAnsi="Arial"/>
                <w:b/>
                <w:sz w:val="22"/>
              </w:rPr>
            </w:pPr>
            <w:r w:rsidRPr="007074AD">
              <w:rPr>
                <w:rFonts w:ascii="Arial" w:eastAsia="Times New Roman" w:hAnsi="Arial"/>
                <w:b/>
                <w:sz w:val="22"/>
              </w:rPr>
              <w:t>Comments</w:t>
            </w:r>
          </w:p>
        </w:tc>
        <w:tc>
          <w:tcPr>
            <w:tcW w:w="471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7B03D8" w:rsidRPr="007074AD" w:rsidRDefault="00764C06" w:rsidP="00764C06">
            <w:pPr>
              <w:pStyle w:val="Body1"/>
              <w:outlineLvl w:val="9"/>
              <w:rPr>
                <w:rFonts w:ascii="Arial" w:eastAsia="Times New Roman" w:hAnsi="Arial"/>
                <w:b/>
                <w:sz w:val="22"/>
              </w:rPr>
            </w:pPr>
            <w:r w:rsidRPr="007074AD">
              <w:rPr>
                <w:rFonts w:ascii="Arial" w:eastAsia="Times New Roman" w:hAnsi="Arial"/>
                <w:b/>
                <w:sz w:val="22"/>
              </w:rPr>
              <w:t>Action Item</w:t>
            </w:r>
          </w:p>
        </w:tc>
      </w:tr>
      <w:tr w:rsidR="007B03D8" w:rsidRPr="007074AD" w:rsidTr="007B03D8">
        <w:trPr>
          <w:cantSplit/>
          <w:trHeight w:val="445"/>
        </w:trPr>
        <w:tc>
          <w:tcPr>
            <w:tcW w:w="4988"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Default="007B03D8" w:rsidP="007B03D8">
            <w:pPr>
              <w:pStyle w:val="ListParagraph"/>
              <w:numPr>
                <w:ilvl w:val="0"/>
                <w:numId w:val="1"/>
              </w:numPr>
              <w:rPr>
                <w:rFonts w:ascii="Arial" w:hAnsi="Arial"/>
                <w:szCs w:val="24"/>
              </w:rPr>
            </w:pPr>
            <w:r w:rsidRPr="007074AD">
              <w:rPr>
                <w:rFonts w:ascii="Arial" w:hAnsi="Arial"/>
                <w:szCs w:val="24"/>
              </w:rPr>
              <w:t xml:space="preserve">Review/Approval of minutes from 2/24/12 </w:t>
            </w:r>
          </w:p>
          <w:p w:rsidR="00135AC9" w:rsidRPr="007074AD" w:rsidRDefault="00135AC9" w:rsidP="007B03D8">
            <w:pPr>
              <w:pStyle w:val="ListParagraph"/>
              <w:numPr>
                <w:ilvl w:val="0"/>
                <w:numId w:val="1"/>
              </w:numPr>
              <w:rPr>
                <w:rFonts w:ascii="Arial" w:hAnsi="Arial"/>
                <w:szCs w:val="24"/>
              </w:rPr>
            </w:pPr>
            <w:r>
              <w:rPr>
                <w:rFonts w:ascii="Arial" w:hAnsi="Arial"/>
                <w:szCs w:val="24"/>
              </w:rPr>
              <w:t>Introductions</w:t>
            </w:r>
          </w:p>
          <w:p w:rsidR="007B03D8" w:rsidRPr="007074AD" w:rsidRDefault="007B03D8" w:rsidP="007B03D8">
            <w:pPr>
              <w:pStyle w:val="Body1"/>
              <w:ind w:left="1161"/>
              <w:outlineLvl w:val="9"/>
              <w:rPr>
                <w:rFonts w:ascii="Arial" w:eastAsia="Times New Roman" w:hAnsi="Arial"/>
                <w:sz w:val="22"/>
              </w:rPr>
            </w:pPr>
          </w:p>
        </w:tc>
        <w:tc>
          <w:tcPr>
            <w:tcW w:w="4988"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64C06">
            <w:pPr>
              <w:rPr>
                <w:rFonts w:ascii="Arial" w:hAnsi="Arial"/>
                <w:sz w:val="22"/>
              </w:rPr>
            </w:pPr>
            <w:r>
              <w:rPr>
                <w:rFonts w:ascii="Arial" w:hAnsi="Arial"/>
                <w:sz w:val="22"/>
              </w:rPr>
              <w:t>Review of minutes</w:t>
            </w:r>
          </w:p>
        </w:tc>
        <w:tc>
          <w:tcPr>
            <w:tcW w:w="4712"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Default="007B03D8" w:rsidP="00764C06">
            <w:pPr>
              <w:pStyle w:val="Body1"/>
              <w:outlineLvl w:val="9"/>
              <w:rPr>
                <w:rFonts w:ascii="Arial" w:eastAsia="Times New Roman" w:hAnsi="Arial"/>
                <w:sz w:val="22"/>
              </w:rPr>
            </w:pPr>
            <w:r>
              <w:rPr>
                <w:rFonts w:ascii="Arial" w:eastAsia="Times New Roman" w:hAnsi="Arial"/>
                <w:sz w:val="22"/>
              </w:rPr>
              <w:t>Minutes approved</w:t>
            </w:r>
            <w:r w:rsidR="00135AC9">
              <w:rPr>
                <w:rFonts w:ascii="Arial" w:eastAsia="Times New Roman" w:hAnsi="Arial"/>
                <w:sz w:val="22"/>
              </w:rPr>
              <w:t>.</w:t>
            </w:r>
          </w:p>
          <w:p w:rsidR="00135AC9" w:rsidRPr="007074AD" w:rsidRDefault="00135AC9" w:rsidP="00764C06">
            <w:pPr>
              <w:pStyle w:val="Body1"/>
              <w:outlineLvl w:val="9"/>
              <w:rPr>
                <w:rFonts w:ascii="Arial" w:eastAsia="Times New Roman" w:hAnsi="Arial"/>
                <w:sz w:val="22"/>
              </w:rPr>
            </w:pPr>
            <w:r>
              <w:rPr>
                <w:rFonts w:ascii="Arial" w:eastAsia="Times New Roman" w:hAnsi="Arial"/>
                <w:sz w:val="22"/>
              </w:rPr>
              <w:t>Happy to have Alesia Forde join us, and committee introduced members.</w:t>
            </w:r>
          </w:p>
        </w:tc>
      </w:tr>
      <w:tr w:rsidR="007B03D8" w:rsidRPr="007074AD" w:rsidTr="007B03D8">
        <w:trPr>
          <w:cantSplit/>
          <w:trHeight w:val="1049"/>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504D2B" w:rsidRDefault="007B03D8" w:rsidP="007B03D8">
            <w:pPr>
              <w:pStyle w:val="ListParagraph"/>
              <w:numPr>
                <w:ilvl w:val="0"/>
                <w:numId w:val="1"/>
              </w:numPr>
              <w:rPr>
                <w:rFonts w:ascii="Arial" w:hAnsi="Arial"/>
              </w:rPr>
            </w:pPr>
            <w:r w:rsidRPr="00504D2B">
              <w:rPr>
                <w:rFonts w:ascii="Arial" w:hAnsi="Arial"/>
              </w:rPr>
              <w:lastRenderedPageBreak/>
              <w:t>Chair Report (Schutt on behalf of Kuiken)</w:t>
            </w:r>
          </w:p>
          <w:p w:rsidR="007B03D8" w:rsidRPr="00504D2B" w:rsidRDefault="007B03D8" w:rsidP="007B03D8">
            <w:pPr>
              <w:pStyle w:val="ListParagraph"/>
              <w:numPr>
                <w:ilvl w:val="1"/>
                <w:numId w:val="1"/>
              </w:numPr>
              <w:rPr>
                <w:rFonts w:ascii="Arial" w:hAnsi="Arial"/>
              </w:rPr>
            </w:pPr>
            <w:r w:rsidRPr="00504D2B">
              <w:rPr>
                <w:rFonts w:ascii="Arial" w:hAnsi="Arial"/>
              </w:rPr>
              <w:t xml:space="preserve">PHI 111 – revision review </w:t>
            </w:r>
          </w:p>
          <w:p w:rsidR="007B03D8" w:rsidRPr="00504D2B" w:rsidRDefault="007B03D8" w:rsidP="007B03D8">
            <w:pPr>
              <w:pStyle w:val="ListParagraph"/>
              <w:numPr>
                <w:ilvl w:val="1"/>
                <w:numId w:val="1"/>
              </w:numPr>
              <w:rPr>
                <w:rFonts w:ascii="Arial" w:hAnsi="Arial"/>
              </w:rPr>
            </w:pPr>
            <w:r w:rsidRPr="00504D2B">
              <w:rPr>
                <w:rFonts w:ascii="Arial" w:hAnsi="Arial"/>
              </w:rPr>
              <w:t>THT260 – revision review</w:t>
            </w:r>
          </w:p>
          <w:p w:rsidR="007B03D8" w:rsidRPr="00504D2B" w:rsidRDefault="007B03D8" w:rsidP="007B03D8">
            <w:pPr>
              <w:pStyle w:val="ListParagraph"/>
              <w:numPr>
                <w:ilvl w:val="1"/>
                <w:numId w:val="1"/>
              </w:numPr>
              <w:rPr>
                <w:rFonts w:ascii="Arial" w:hAnsi="Arial"/>
              </w:rPr>
            </w:pPr>
            <w:r w:rsidRPr="00504D2B">
              <w:rPr>
                <w:rFonts w:ascii="Arial" w:hAnsi="Arial"/>
              </w:rPr>
              <w:t>Spitzer email</w:t>
            </w:r>
          </w:p>
          <w:p w:rsidR="007B03D8" w:rsidRPr="00504D2B" w:rsidRDefault="007B03D8" w:rsidP="007B03D8">
            <w:pPr>
              <w:pStyle w:val="ListParagraph"/>
              <w:numPr>
                <w:ilvl w:val="1"/>
                <w:numId w:val="1"/>
              </w:numPr>
              <w:rPr>
                <w:rFonts w:ascii="Arial" w:hAnsi="Arial"/>
              </w:rPr>
            </w:pPr>
            <w:r w:rsidRPr="00504D2B">
              <w:rPr>
                <w:rFonts w:ascii="Arial" w:hAnsi="Arial"/>
              </w:rPr>
              <w:t xml:space="preserve">Subcommittees: review syllabi &amp; submission 2 </w:t>
            </w:r>
          </w:p>
          <w:p w:rsidR="007B03D8" w:rsidRPr="00504D2B" w:rsidRDefault="007B03D8" w:rsidP="007B03D8">
            <w:pPr>
              <w:pStyle w:val="ListParagraph"/>
              <w:numPr>
                <w:ilvl w:val="1"/>
                <w:numId w:val="1"/>
              </w:numPr>
              <w:rPr>
                <w:rFonts w:ascii="Arial" w:hAnsi="Arial"/>
              </w:rPr>
            </w:pPr>
            <w:r w:rsidRPr="00504D2B">
              <w:rPr>
                <w:rFonts w:ascii="Arial" w:hAnsi="Arial"/>
              </w:rPr>
              <w:t xml:space="preserve">GE Assessment Spring 2011 letter edit </w:t>
            </w:r>
          </w:p>
          <w:p w:rsidR="007B03D8" w:rsidRPr="00504D2B" w:rsidRDefault="007B03D8" w:rsidP="00764C06">
            <w:pPr>
              <w:pStyle w:val="Body1"/>
              <w:ind w:left="1161"/>
              <w:rPr>
                <w:rFonts w:ascii="Arial" w:hAnsi="Arial"/>
                <w:sz w:val="22"/>
                <w:szCs w:val="22"/>
              </w:rPr>
            </w:pPr>
          </w:p>
          <w:p w:rsidR="007B03D8" w:rsidRPr="00504D2B" w:rsidRDefault="007B03D8" w:rsidP="00764C06">
            <w:pPr>
              <w:pStyle w:val="Body1"/>
              <w:ind w:left="1161"/>
              <w:rPr>
                <w:rFonts w:ascii="Arial" w:hAnsi="Arial"/>
                <w:sz w:val="22"/>
                <w:szCs w:val="22"/>
              </w:rPr>
            </w:pP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504D2B" w:rsidRDefault="00504D2B" w:rsidP="00764C06">
            <w:pPr>
              <w:pStyle w:val="Body1"/>
              <w:outlineLvl w:val="9"/>
              <w:rPr>
                <w:rFonts w:ascii="Arial" w:eastAsia="Times New Roman" w:hAnsi="Arial"/>
                <w:sz w:val="22"/>
                <w:szCs w:val="22"/>
              </w:rPr>
            </w:pPr>
            <w:r w:rsidRPr="00504D2B">
              <w:rPr>
                <w:rFonts w:ascii="Arial" w:eastAsia="Times New Roman" w:hAnsi="Arial"/>
                <w:sz w:val="22"/>
                <w:szCs w:val="22"/>
              </w:rPr>
              <w:t xml:space="preserve">A.  </w:t>
            </w:r>
            <w:r w:rsidR="007B03D8" w:rsidRPr="00504D2B">
              <w:rPr>
                <w:rFonts w:ascii="Arial" w:eastAsia="Times New Roman" w:hAnsi="Arial"/>
                <w:sz w:val="22"/>
                <w:szCs w:val="22"/>
              </w:rPr>
              <w:t xml:space="preserve">Discussion of PHI 111.  Discussion of response from K. Russell concerning PHI 111.    L. Klotz suggests sending response to Quant skills ad hoc committee for their suggestions.  L. Pickett and others liked detail of response and how to address SLO’s.  </w:t>
            </w:r>
          </w:p>
          <w:p w:rsidR="007B03D8" w:rsidRPr="00504D2B" w:rsidRDefault="007B03D8" w:rsidP="00764C06">
            <w:pPr>
              <w:pStyle w:val="Body1"/>
              <w:outlineLvl w:val="9"/>
              <w:rPr>
                <w:rFonts w:ascii="Arial" w:eastAsia="Times New Roman" w:hAnsi="Arial"/>
                <w:sz w:val="22"/>
                <w:szCs w:val="22"/>
              </w:rPr>
            </w:pPr>
          </w:p>
          <w:p w:rsidR="007B03D8" w:rsidRPr="00504D2B" w:rsidRDefault="007B03D8" w:rsidP="00764C06">
            <w:pPr>
              <w:pStyle w:val="Body1"/>
              <w:outlineLvl w:val="9"/>
              <w:rPr>
                <w:rFonts w:ascii="Arial" w:eastAsia="Times New Roman" w:hAnsi="Arial"/>
                <w:sz w:val="22"/>
                <w:szCs w:val="22"/>
              </w:rPr>
            </w:pPr>
            <w:r w:rsidRPr="00504D2B">
              <w:rPr>
                <w:rFonts w:ascii="Arial" w:eastAsia="Times New Roman" w:hAnsi="Arial"/>
                <w:sz w:val="22"/>
                <w:szCs w:val="22"/>
              </w:rPr>
              <w:t xml:space="preserve">Mattingly </w:t>
            </w:r>
            <w:r w:rsidR="00135AC9" w:rsidRPr="00504D2B">
              <w:rPr>
                <w:rFonts w:ascii="Arial" w:eastAsia="Times New Roman" w:hAnsi="Arial"/>
                <w:sz w:val="22"/>
                <w:szCs w:val="22"/>
              </w:rPr>
              <w:t xml:space="preserve">suggested that </w:t>
            </w:r>
            <w:r w:rsidRPr="00504D2B">
              <w:rPr>
                <w:rFonts w:ascii="Arial" w:eastAsia="Times New Roman" w:hAnsi="Arial"/>
                <w:sz w:val="22"/>
                <w:szCs w:val="22"/>
              </w:rPr>
              <w:t>we need to a clear understanding</w:t>
            </w:r>
            <w:r w:rsidR="00135AC9" w:rsidRPr="00504D2B">
              <w:rPr>
                <w:rFonts w:ascii="Arial" w:eastAsia="Times New Roman" w:hAnsi="Arial"/>
                <w:sz w:val="22"/>
                <w:szCs w:val="22"/>
              </w:rPr>
              <w:t xml:space="preserve"> of what is SUNY’s Quant Skills requirement.</w:t>
            </w:r>
            <w:r w:rsidRPr="00504D2B">
              <w:rPr>
                <w:rFonts w:ascii="Arial" w:eastAsia="Times New Roman" w:hAnsi="Arial"/>
                <w:sz w:val="22"/>
                <w:szCs w:val="22"/>
              </w:rPr>
              <w:t xml:space="preserve">  A. Schutt suggested looking at other SUNY’s and community colleges.  </w:t>
            </w:r>
          </w:p>
          <w:p w:rsidR="00135AC9" w:rsidRPr="00504D2B" w:rsidRDefault="00135AC9" w:rsidP="00764C06">
            <w:pPr>
              <w:pStyle w:val="Body1"/>
              <w:outlineLvl w:val="9"/>
              <w:rPr>
                <w:rFonts w:ascii="Arial" w:eastAsia="Times New Roman" w:hAnsi="Arial"/>
                <w:sz w:val="22"/>
                <w:szCs w:val="22"/>
              </w:rPr>
            </w:pPr>
          </w:p>
          <w:p w:rsidR="00135AC9" w:rsidRPr="00504D2B" w:rsidRDefault="00504D2B" w:rsidP="00764C06">
            <w:pPr>
              <w:pStyle w:val="Body1"/>
              <w:outlineLvl w:val="9"/>
              <w:rPr>
                <w:rFonts w:ascii="Arial" w:eastAsia="Times New Roman" w:hAnsi="Arial"/>
                <w:sz w:val="22"/>
                <w:szCs w:val="22"/>
              </w:rPr>
            </w:pPr>
            <w:r w:rsidRPr="00504D2B">
              <w:rPr>
                <w:rFonts w:ascii="Arial" w:eastAsia="Times New Roman" w:hAnsi="Arial"/>
                <w:sz w:val="22"/>
                <w:szCs w:val="22"/>
              </w:rPr>
              <w:t xml:space="preserve">B.  </w:t>
            </w:r>
            <w:r w:rsidR="00135AC9" w:rsidRPr="00504D2B">
              <w:rPr>
                <w:rFonts w:ascii="Arial" w:eastAsia="Times New Roman" w:hAnsi="Arial"/>
                <w:sz w:val="22"/>
                <w:szCs w:val="22"/>
              </w:rPr>
              <w:t xml:space="preserve">THT 260 revision discussion.   Does this meet the learning outcomes?  </w:t>
            </w:r>
          </w:p>
          <w:p w:rsidR="00135AC9" w:rsidRPr="00504D2B" w:rsidRDefault="00135AC9" w:rsidP="00764C06">
            <w:pPr>
              <w:pStyle w:val="Body1"/>
              <w:outlineLvl w:val="9"/>
              <w:rPr>
                <w:rFonts w:ascii="Arial" w:eastAsia="Times New Roman" w:hAnsi="Arial"/>
                <w:sz w:val="22"/>
                <w:szCs w:val="22"/>
              </w:rPr>
            </w:pPr>
          </w:p>
          <w:p w:rsidR="00135AC9" w:rsidRPr="00504D2B" w:rsidRDefault="00504D2B" w:rsidP="00764C06">
            <w:pPr>
              <w:pStyle w:val="Body1"/>
              <w:outlineLvl w:val="9"/>
              <w:rPr>
                <w:rFonts w:ascii="Arial" w:eastAsia="Times New Roman" w:hAnsi="Arial"/>
                <w:sz w:val="22"/>
                <w:szCs w:val="22"/>
              </w:rPr>
            </w:pPr>
            <w:r w:rsidRPr="00504D2B">
              <w:rPr>
                <w:rFonts w:ascii="Arial" w:eastAsia="Times New Roman" w:hAnsi="Arial"/>
                <w:sz w:val="22"/>
                <w:szCs w:val="22"/>
              </w:rPr>
              <w:t xml:space="preserve">C.  </w:t>
            </w:r>
            <w:r w:rsidR="00135AC9" w:rsidRPr="00504D2B">
              <w:rPr>
                <w:rFonts w:ascii="Arial" w:eastAsia="Times New Roman" w:hAnsi="Arial"/>
                <w:sz w:val="22"/>
                <w:szCs w:val="22"/>
              </w:rPr>
              <w:t xml:space="preserve">Should new faculty be exempted from course GE assessment?  L. Klotz &amp; L. Pickett argued that all </w:t>
            </w:r>
            <w:proofErr w:type="gramStart"/>
            <w:r w:rsidR="00135AC9" w:rsidRPr="00504D2B">
              <w:rPr>
                <w:rFonts w:ascii="Arial" w:eastAsia="Times New Roman" w:hAnsi="Arial"/>
                <w:sz w:val="22"/>
                <w:szCs w:val="22"/>
              </w:rPr>
              <w:t>faculty</w:t>
            </w:r>
            <w:proofErr w:type="gramEnd"/>
            <w:r w:rsidR="00135AC9" w:rsidRPr="00504D2B">
              <w:rPr>
                <w:rFonts w:ascii="Arial" w:eastAsia="Times New Roman" w:hAnsi="Arial"/>
                <w:sz w:val="22"/>
                <w:szCs w:val="22"/>
              </w:rPr>
              <w:t xml:space="preserve"> should be involved.  A. Thomas and B. Burk discussed how we inform faculty about GE assessment and should maybe be part of new </w:t>
            </w:r>
            <w:r w:rsidR="00C21BD9" w:rsidRPr="00504D2B">
              <w:rPr>
                <w:rFonts w:ascii="Arial" w:eastAsia="Times New Roman" w:hAnsi="Arial"/>
                <w:sz w:val="22"/>
                <w:szCs w:val="22"/>
              </w:rPr>
              <w:t>faculty</w:t>
            </w:r>
            <w:r w:rsidR="00135AC9" w:rsidRPr="00504D2B">
              <w:rPr>
                <w:rFonts w:ascii="Arial" w:eastAsia="Times New Roman" w:hAnsi="Arial"/>
                <w:sz w:val="22"/>
                <w:szCs w:val="22"/>
              </w:rPr>
              <w:t xml:space="preserve"> </w:t>
            </w:r>
            <w:r w:rsidR="00C21BD9" w:rsidRPr="00504D2B">
              <w:rPr>
                <w:rFonts w:ascii="Arial" w:eastAsia="Times New Roman" w:hAnsi="Arial"/>
                <w:sz w:val="22"/>
                <w:szCs w:val="22"/>
              </w:rPr>
              <w:t xml:space="preserve">information sessions.  </w:t>
            </w:r>
          </w:p>
          <w:p w:rsidR="00A92EE2" w:rsidRPr="00504D2B" w:rsidRDefault="00A92EE2" w:rsidP="00764C06">
            <w:pPr>
              <w:pStyle w:val="Body1"/>
              <w:outlineLvl w:val="9"/>
              <w:rPr>
                <w:rFonts w:ascii="Arial" w:eastAsia="Times New Roman" w:hAnsi="Arial"/>
                <w:sz w:val="22"/>
                <w:szCs w:val="22"/>
              </w:rPr>
            </w:pPr>
            <w:r w:rsidRPr="00504D2B">
              <w:rPr>
                <w:rFonts w:ascii="Arial" w:eastAsia="Times New Roman" w:hAnsi="Arial"/>
                <w:sz w:val="22"/>
                <w:szCs w:val="22"/>
              </w:rPr>
              <w:t xml:space="preserve">This should not set a precedent for removal from GE assessment.  </w:t>
            </w:r>
          </w:p>
          <w:p w:rsidR="00531037" w:rsidRPr="00504D2B" w:rsidRDefault="00531037" w:rsidP="00531037">
            <w:pPr>
              <w:pStyle w:val="Body1"/>
              <w:outlineLvl w:val="9"/>
              <w:rPr>
                <w:rFonts w:ascii="Arial" w:eastAsia="Times New Roman" w:hAnsi="Arial"/>
                <w:sz w:val="22"/>
                <w:szCs w:val="22"/>
              </w:rPr>
            </w:pPr>
            <w:r w:rsidRPr="00504D2B">
              <w:rPr>
                <w:rFonts w:ascii="Arial" w:eastAsia="Times New Roman" w:hAnsi="Arial"/>
                <w:sz w:val="22"/>
                <w:szCs w:val="22"/>
              </w:rPr>
              <w:t xml:space="preserve">L. Klotz, Our current GE </w:t>
            </w:r>
            <w:r w:rsidR="001D6A70" w:rsidRPr="00504D2B">
              <w:rPr>
                <w:rFonts w:ascii="Arial" w:eastAsia="Times New Roman" w:hAnsi="Arial"/>
                <w:sz w:val="22"/>
                <w:szCs w:val="22"/>
              </w:rPr>
              <w:t>assessment</w:t>
            </w:r>
            <w:r w:rsidRPr="00504D2B">
              <w:rPr>
                <w:rFonts w:ascii="Arial" w:eastAsia="Times New Roman" w:hAnsi="Arial"/>
                <w:sz w:val="22"/>
                <w:szCs w:val="22"/>
              </w:rPr>
              <w:t xml:space="preserve"> is not that involved and should not require that much work.</w:t>
            </w:r>
          </w:p>
          <w:p w:rsidR="00D62922" w:rsidRPr="00504D2B" w:rsidRDefault="00531037" w:rsidP="00531037">
            <w:pPr>
              <w:pStyle w:val="Body1"/>
              <w:outlineLvl w:val="9"/>
              <w:rPr>
                <w:rFonts w:ascii="Arial" w:eastAsia="Times New Roman" w:hAnsi="Arial"/>
                <w:sz w:val="22"/>
                <w:szCs w:val="22"/>
              </w:rPr>
            </w:pPr>
            <w:r w:rsidRPr="00504D2B">
              <w:rPr>
                <w:rFonts w:ascii="Arial" w:eastAsia="Times New Roman" w:hAnsi="Arial"/>
                <w:sz w:val="22"/>
                <w:szCs w:val="22"/>
              </w:rPr>
              <w:t xml:space="preserve">S. Kelly reminds us how busy and possibly overwhelmed first year </w:t>
            </w:r>
            <w:proofErr w:type="gramStart"/>
            <w:r w:rsidRPr="00504D2B">
              <w:rPr>
                <w:rFonts w:ascii="Arial" w:eastAsia="Times New Roman" w:hAnsi="Arial"/>
                <w:sz w:val="22"/>
                <w:szCs w:val="22"/>
              </w:rPr>
              <w:t>faculty are</w:t>
            </w:r>
            <w:proofErr w:type="gramEnd"/>
            <w:r w:rsidRPr="00504D2B">
              <w:rPr>
                <w:rFonts w:ascii="Arial" w:eastAsia="Times New Roman" w:hAnsi="Arial"/>
                <w:sz w:val="22"/>
                <w:szCs w:val="22"/>
              </w:rPr>
              <w:t xml:space="preserve">.  And we expect </w:t>
            </w:r>
            <w:r w:rsidR="00D62922" w:rsidRPr="00504D2B">
              <w:rPr>
                <w:rFonts w:ascii="Arial" w:eastAsia="Times New Roman" w:hAnsi="Arial"/>
                <w:sz w:val="22"/>
                <w:szCs w:val="22"/>
              </w:rPr>
              <w:t xml:space="preserve">recent hire </w:t>
            </w:r>
            <w:r w:rsidRPr="00504D2B">
              <w:rPr>
                <w:rFonts w:ascii="Arial" w:eastAsia="Times New Roman" w:hAnsi="Arial"/>
                <w:sz w:val="22"/>
                <w:szCs w:val="22"/>
              </w:rPr>
              <w:t>adjuncts to complete this as well.</w:t>
            </w:r>
            <w:r w:rsidR="00D62922" w:rsidRPr="00504D2B">
              <w:rPr>
                <w:rFonts w:ascii="Arial" w:eastAsia="Times New Roman" w:hAnsi="Arial"/>
                <w:sz w:val="22"/>
                <w:szCs w:val="22"/>
              </w:rPr>
              <w:t xml:space="preserve">  </w:t>
            </w:r>
          </w:p>
          <w:p w:rsidR="001D6A70" w:rsidRPr="00504D2B" w:rsidRDefault="00D62922" w:rsidP="00531037">
            <w:pPr>
              <w:pStyle w:val="Body1"/>
              <w:outlineLvl w:val="9"/>
              <w:rPr>
                <w:rFonts w:ascii="Arial" w:eastAsia="Times New Roman" w:hAnsi="Arial"/>
                <w:sz w:val="22"/>
                <w:szCs w:val="22"/>
              </w:rPr>
            </w:pPr>
            <w:r w:rsidRPr="00504D2B">
              <w:rPr>
                <w:rFonts w:ascii="Arial" w:eastAsia="Times New Roman" w:hAnsi="Arial"/>
                <w:sz w:val="22"/>
                <w:szCs w:val="22"/>
              </w:rPr>
              <w:t xml:space="preserve">A. Schutt suggested a brief talk with professor about the process and that </w:t>
            </w:r>
            <w:r w:rsidR="004A63F1" w:rsidRPr="00504D2B">
              <w:rPr>
                <w:rFonts w:ascii="Arial" w:eastAsia="Times New Roman" w:hAnsi="Arial"/>
                <w:sz w:val="22"/>
                <w:szCs w:val="22"/>
              </w:rPr>
              <w:t xml:space="preserve">it really does not take that much work.  </w:t>
            </w:r>
          </w:p>
          <w:p w:rsidR="004A63F1" w:rsidRPr="00504D2B" w:rsidRDefault="004A63F1" w:rsidP="00531037">
            <w:pPr>
              <w:pStyle w:val="Body1"/>
              <w:outlineLvl w:val="9"/>
              <w:rPr>
                <w:rFonts w:ascii="Arial" w:eastAsia="Times New Roman" w:hAnsi="Arial"/>
                <w:sz w:val="22"/>
                <w:szCs w:val="22"/>
              </w:rPr>
            </w:pPr>
            <w:r w:rsidRPr="00504D2B">
              <w:rPr>
                <w:rFonts w:ascii="Arial" w:eastAsia="Times New Roman" w:hAnsi="Arial"/>
                <w:sz w:val="22"/>
                <w:szCs w:val="22"/>
              </w:rPr>
              <w:t xml:space="preserve">B. Mattingly talked about email and meaning of email.  </w:t>
            </w:r>
          </w:p>
          <w:p w:rsidR="004A63F1" w:rsidRPr="00504D2B" w:rsidRDefault="004A63F1" w:rsidP="00531037">
            <w:pPr>
              <w:pStyle w:val="Body1"/>
              <w:outlineLvl w:val="9"/>
              <w:rPr>
                <w:rFonts w:ascii="Arial" w:eastAsia="Times New Roman" w:hAnsi="Arial"/>
                <w:sz w:val="22"/>
                <w:szCs w:val="22"/>
              </w:rPr>
            </w:pPr>
          </w:p>
          <w:p w:rsidR="008B2A1F" w:rsidRPr="00504D2B" w:rsidRDefault="00504D2B" w:rsidP="00504D2B">
            <w:pPr>
              <w:rPr>
                <w:rFonts w:ascii="Arial" w:hAnsi="Arial"/>
                <w:sz w:val="22"/>
                <w:szCs w:val="22"/>
              </w:rPr>
            </w:pPr>
            <w:r w:rsidRPr="00504D2B">
              <w:rPr>
                <w:rFonts w:ascii="Arial" w:hAnsi="Arial"/>
                <w:sz w:val="22"/>
                <w:szCs w:val="22"/>
              </w:rPr>
              <w:t xml:space="preserve">D.  Subcommittees: review syllabi &amp; submission 2.  Amy </w:t>
            </w:r>
            <w:r w:rsidR="004A63F1" w:rsidRPr="00504D2B">
              <w:rPr>
                <w:rFonts w:ascii="Arial" w:hAnsi="Arial"/>
                <w:sz w:val="22"/>
                <w:szCs w:val="22"/>
              </w:rPr>
              <w:t>Schutt reminds group about GE syllabus review and more time for a</w:t>
            </w:r>
            <w:r w:rsidR="008B2A1F" w:rsidRPr="00504D2B">
              <w:rPr>
                <w:rFonts w:ascii="Arial" w:hAnsi="Arial"/>
                <w:sz w:val="22"/>
                <w:szCs w:val="22"/>
              </w:rPr>
              <w:t xml:space="preserve"> review of syllabus if needed.  Form for syllabi review.</w:t>
            </w:r>
          </w:p>
          <w:p w:rsidR="004A63F1" w:rsidRPr="00504D2B" w:rsidRDefault="008B2A1F" w:rsidP="008B2A1F">
            <w:pPr>
              <w:pStyle w:val="Body1"/>
              <w:outlineLvl w:val="9"/>
              <w:rPr>
                <w:rFonts w:ascii="Arial" w:eastAsia="Times New Roman" w:hAnsi="Arial"/>
                <w:sz w:val="22"/>
                <w:szCs w:val="22"/>
              </w:rPr>
            </w:pPr>
            <w:r w:rsidRPr="00504D2B">
              <w:rPr>
                <w:rFonts w:ascii="Arial" w:eastAsia="Times New Roman" w:hAnsi="Arial"/>
                <w:sz w:val="22"/>
                <w:szCs w:val="22"/>
              </w:rPr>
              <w:t xml:space="preserve"> Also assessment instrument.  </w:t>
            </w:r>
          </w:p>
          <w:p w:rsidR="00504D2B" w:rsidRPr="00504D2B" w:rsidRDefault="00504D2B" w:rsidP="008B2A1F">
            <w:pPr>
              <w:pStyle w:val="Body1"/>
              <w:outlineLvl w:val="9"/>
              <w:rPr>
                <w:rFonts w:ascii="Arial" w:eastAsia="Times New Roman" w:hAnsi="Arial"/>
                <w:sz w:val="22"/>
                <w:szCs w:val="22"/>
              </w:rPr>
            </w:pPr>
          </w:p>
          <w:p w:rsidR="00504D2B" w:rsidRPr="00504D2B" w:rsidRDefault="00504D2B" w:rsidP="00504D2B">
            <w:pPr>
              <w:rPr>
                <w:rFonts w:ascii="Arial" w:hAnsi="Arial"/>
                <w:sz w:val="22"/>
                <w:szCs w:val="22"/>
              </w:rPr>
            </w:pP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Default="00135AC9" w:rsidP="00764C06">
            <w:pPr>
              <w:pStyle w:val="Body1"/>
              <w:outlineLvl w:val="9"/>
              <w:rPr>
                <w:rFonts w:ascii="Arial" w:eastAsia="Helvetica" w:hAnsi="Arial"/>
                <w:sz w:val="22"/>
              </w:rPr>
            </w:pPr>
            <w:r>
              <w:rPr>
                <w:rFonts w:ascii="Arial" w:eastAsia="Helvetica" w:hAnsi="Arial"/>
                <w:sz w:val="22"/>
              </w:rPr>
              <w:t xml:space="preserve">Group </w:t>
            </w:r>
            <w:r w:rsidR="00C21BD9">
              <w:rPr>
                <w:rFonts w:ascii="Arial" w:eastAsia="Helvetica" w:hAnsi="Arial"/>
                <w:sz w:val="22"/>
              </w:rPr>
              <w:t>recommends</w:t>
            </w:r>
            <w:r w:rsidR="007B03D8">
              <w:rPr>
                <w:rFonts w:ascii="Arial" w:eastAsia="Helvetica" w:hAnsi="Arial"/>
                <w:sz w:val="22"/>
              </w:rPr>
              <w:t xml:space="preserve"> </w:t>
            </w:r>
            <w:proofErr w:type="gramStart"/>
            <w:r w:rsidR="007B03D8">
              <w:rPr>
                <w:rFonts w:ascii="Arial" w:eastAsia="Helvetica" w:hAnsi="Arial"/>
                <w:sz w:val="22"/>
              </w:rPr>
              <w:t>to send</w:t>
            </w:r>
            <w:proofErr w:type="gramEnd"/>
            <w:r w:rsidR="007B03D8">
              <w:rPr>
                <w:rFonts w:ascii="Arial" w:eastAsia="Helvetica" w:hAnsi="Arial"/>
                <w:sz w:val="22"/>
              </w:rPr>
              <w:t xml:space="preserve"> response to Quant ad hoc committee for their </w:t>
            </w:r>
            <w:r>
              <w:rPr>
                <w:rFonts w:ascii="Arial" w:eastAsia="Helvetica" w:hAnsi="Arial"/>
                <w:sz w:val="22"/>
              </w:rPr>
              <w:t>suggestions</w:t>
            </w:r>
            <w:r w:rsidR="007B03D8">
              <w:rPr>
                <w:rFonts w:ascii="Arial" w:eastAsia="Helvetica" w:hAnsi="Arial"/>
                <w:sz w:val="22"/>
              </w:rPr>
              <w:t>.</w:t>
            </w: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r>
              <w:rPr>
                <w:rFonts w:ascii="Arial" w:eastAsia="Helvetica" w:hAnsi="Arial"/>
                <w:sz w:val="22"/>
              </w:rPr>
              <w:t xml:space="preserve">Carol Van De Karr </w:t>
            </w:r>
            <w:r w:rsidR="00A92EE2">
              <w:rPr>
                <w:rFonts w:ascii="Arial" w:eastAsia="Helvetica" w:hAnsi="Arial"/>
                <w:sz w:val="22"/>
              </w:rPr>
              <w:t xml:space="preserve">will look at other schools.  And how they define GE #1.  </w:t>
            </w: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p>
          <w:p w:rsidR="00135AC9" w:rsidRDefault="00135AC9" w:rsidP="00764C06">
            <w:pPr>
              <w:pStyle w:val="Body1"/>
              <w:outlineLvl w:val="9"/>
              <w:rPr>
                <w:rFonts w:ascii="Arial" w:eastAsia="Helvetica" w:hAnsi="Arial"/>
                <w:sz w:val="22"/>
              </w:rPr>
            </w:pPr>
            <w:r>
              <w:rPr>
                <w:rFonts w:ascii="Arial" w:eastAsia="Helvetica" w:hAnsi="Arial"/>
                <w:sz w:val="22"/>
              </w:rPr>
              <w:t xml:space="preserve">Moved to approve A. Thomas, Second, L. Klotz, approved unanimously.  </w:t>
            </w:r>
          </w:p>
          <w:p w:rsidR="004A63F1" w:rsidRDefault="004A63F1" w:rsidP="00764C06">
            <w:pPr>
              <w:pStyle w:val="Body1"/>
              <w:outlineLvl w:val="9"/>
              <w:rPr>
                <w:rFonts w:ascii="Arial" w:eastAsia="Helvetica" w:hAnsi="Arial"/>
                <w:sz w:val="22"/>
              </w:rPr>
            </w:pPr>
          </w:p>
          <w:p w:rsidR="004A63F1" w:rsidRDefault="004A63F1" w:rsidP="00764C06">
            <w:pPr>
              <w:pStyle w:val="Body1"/>
              <w:outlineLvl w:val="9"/>
              <w:rPr>
                <w:rFonts w:ascii="Arial" w:eastAsia="Helvetica" w:hAnsi="Arial"/>
                <w:sz w:val="22"/>
              </w:rPr>
            </w:pPr>
          </w:p>
          <w:p w:rsidR="004A63F1" w:rsidRDefault="004A63F1" w:rsidP="00764C06">
            <w:pPr>
              <w:pStyle w:val="Body1"/>
              <w:outlineLvl w:val="9"/>
              <w:rPr>
                <w:rFonts w:ascii="Arial" w:eastAsia="Helvetica" w:hAnsi="Arial"/>
                <w:sz w:val="22"/>
              </w:rPr>
            </w:pPr>
            <w:r>
              <w:rPr>
                <w:rFonts w:ascii="Arial" w:eastAsia="Helvetica" w:hAnsi="Arial"/>
                <w:sz w:val="22"/>
              </w:rPr>
              <w:t xml:space="preserve">Group recommends that Anita and/or L Pickett talk in person with professor.  </w:t>
            </w:r>
          </w:p>
          <w:p w:rsidR="004A63F1" w:rsidRDefault="004A63F1" w:rsidP="00764C06">
            <w:pPr>
              <w:pStyle w:val="Body1"/>
              <w:outlineLvl w:val="9"/>
              <w:rPr>
                <w:rFonts w:ascii="Arial" w:eastAsia="Helvetica" w:hAnsi="Arial"/>
                <w:sz w:val="22"/>
              </w:rPr>
            </w:pPr>
          </w:p>
          <w:p w:rsidR="004A63F1" w:rsidRDefault="004A63F1" w:rsidP="00764C06">
            <w:pPr>
              <w:pStyle w:val="Body1"/>
              <w:outlineLvl w:val="9"/>
              <w:rPr>
                <w:rFonts w:ascii="Arial" w:eastAsia="Helvetica" w:hAnsi="Arial"/>
                <w:sz w:val="22"/>
              </w:rPr>
            </w:pPr>
            <w:r>
              <w:rPr>
                <w:rFonts w:ascii="Arial" w:eastAsia="Helvetica" w:hAnsi="Arial"/>
                <w:sz w:val="22"/>
              </w:rPr>
              <w:t xml:space="preserve">Group recommends that Anita (and maybe Bruce) talk with Chair about the process.  </w:t>
            </w: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p>
          <w:p w:rsidR="008B2A1F" w:rsidRDefault="008B2A1F" w:rsidP="00764C06">
            <w:pPr>
              <w:pStyle w:val="Body1"/>
              <w:outlineLvl w:val="9"/>
              <w:rPr>
                <w:rFonts w:ascii="Arial" w:eastAsia="Helvetica" w:hAnsi="Arial"/>
                <w:sz w:val="22"/>
              </w:rPr>
            </w:pPr>
            <w:r>
              <w:rPr>
                <w:rFonts w:ascii="Arial" w:eastAsia="Helvetica" w:hAnsi="Arial"/>
                <w:sz w:val="22"/>
              </w:rPr>
              <w:t>April 10</w:t>
            </w:r>
            <w:r w:rsidRPr="008B2A1F">
              <w:rPr>
                <w:rFonts w:ascii="Arial" w:eastAsia="Helvetica" w:hAnsi="Arial"/>
                <w:sz w:val="22"/>
                <w:vertAlign w:val="superscript"/>
              </w:rPr>
              <w:t>th</w:t>
            </w:r>
            <w:r>
              <w:rPr>
                <w:rFonts w:ascii="Arial" w:eastAsia="Helvetica" w:hAnsi="Arial"/>
                <w:sz w:val="22"/>
              </w:rPr>
              <w:t xml:space="preserve"> date for re-write of GE syllabus if needed.  </w:t>
            </w:r>
          </w:p>
          <w:p w:rsidR="008B2A1F" w:rsidRDefault="00720407" w:rsidP="00764C06">
            <w:pPr>
              <w:pStyle w:val="Body1"/>
              <w:outlineLvl w:val="9"/>
              <w:rPr>
                <w:rFonts w:ascii="Arial" w:eastAsia="Helvetica" w:hAnsi="Arial"/>
                <w:sz w:val="22"/>
              </w:rPr>
            </w:pPr>
            <w:r>
              <w:rPr>
                <w:rFonts w:ascii="Arial" w:eastAsia="Helvetica" w:hAnsi="Arial"/>
                <w:sz w:val="22"/>
              </w:rPr>
              <w:t>GE sub committee leaders will help to make sure syllabi and assessment tool has been submitted.</w:t>
            </w:r>
          </w:p>
          <w:p w:rsidR="00504D2B" w:rsidRDefault="00504D2B" w:rsidP="00764C06">
            <w:pPr>
              <w:pStyle w:val="Body1"/>
              <w:outlineLvl w:val="9"/>
              <w:rPr>
                <w:rFonts w:ascii="Arial" w:eastAsia="Helvetica" w:hAnsi="Arial"/>
                <w:sz w:val="22"/>
              </w:rPr>
            </w:pPr>
          </w:p>
          <w:p w:rsidR="00504D2B" w:rsidRPr="007074AD" w:rsidRDefault="00504D2B" w:rsidP="00504D2B">
            <w:pPr>
              <w:pStyle w:val="Body1"/>
              <w:outlineLvl w:val="9"/>
              <w:rPr>
                <w:rFonts w:ascii="Arial" w:eastAsia="Helvetica" w:hAnsi="Arial"/>
                <w:sz w:val="22"/>
              </w:rPr>
            </w:pPr>
          </w:p>
        </w:tc>
      </w:tr>
      <w:tr w:rsidR="00504D2B" w:rsidRPr="007074AD" w:rsidTr="007B03D8">
        <w:trPr>
          <w:cantSplit/>
          <w:trHeight w:val="1878"/>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504D2B" w:rsidRPr="007074AD" w:rsidRDefault="00504D2B" w:rsidP="00504D2B">
            <w:pPr>
              <w:pStyle w:val="ListParagraph"/>
              <w:ind w:left="1080"/>
              <w:rPr>
                <w:rFonts w:ascii="Arial" w:eastAsia="ヒラギノ角ゴ Pro W3" w:hAnsi="Arial"/>
                <w:color w:val="000000"/>
              </w:rPr>
            </w:pP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504D2B" w:rsidRPr="007074AD" w:rsidRDefault="00504D2B" w:rsidP="00764C06">
            <w:pPr>
              <w:rPr>
                <w:rFonts w:ascii="Arial" w:hAnsi="Arial"/>
                <w:sz w:val="22"/>
              </w:rPr>
            </w:pPr>
            <w:r w:rsidRPr="00504D2B">
              <w:rPr>
                <w:rFonts w:ascii="Arial" w:hAnsi="Arial"/>
                <w:sz w:val="22"/>
                <w:szCs w:val="22"/>
              </w:rPr>
              <w:t>E.  GE Ass</w:t>
            </w:r>
            <w:r>
              <w:rPr>
                <w:rFonts w:ascii="Arial" w:hAnsi="Arial"/>
                <w:sz w:val="22"/>
                <w:szCs w:val="22"/>
              </w:rPr>
              <w:t xml:space="preserve">essment Spring 2011 letter edit.  What are the “benchmarks”?  Why trends.  </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504D2B" w:rsidRPr="007074AD" w:rsidRDefault="00504D2B" w:rsidP="007B03D8">
            <w:pPr>
              <w:rPr>
                <w:rFonts w:ascii="Arial" w:hAnsi="Arial"/>
                <w:sz w:val="22"/>
              </w:rPr>
            </w:pPr>
            <w:r>
              <w:rPr>
                <w:rFonts w:ascii="Arial" w:hAnsi="Arial"/>
                <w:sz w:val="22"/>
              </w:rPr>
              <w:t>Amy Schutt has changes to letter.</w:t>
            </w:r>
            <w:r w:rsidR="006C6AFB">
              <w:rPr>
                <w:rFonts w:ascii="Arial" w:hAnsi="Arial"/>
                <w:sz w:val="22"/>
              </w:rPr>
              <w:t xml:space="preserve">  Just started on revisions Amy will re-write changes and allow us to continue to review.</w:t>
            </w:r>
          </w:p>
        </w:tc>
      </w:tr>
      <w:tr w:rsidR="007B03D8" w:rsidRPr="007074AD" w:rsidTr="007B03D8">
        <w:trPr>
          <w:cantSplit/>
          <w:trHeight w:val="1878"/>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B03D8">
            <w:pPr>
              <w:pStyle w:val="ListParagraph"/>
              <w:numPr>
                <w:ilvl w:val="0"/>
                <w:numId w:val="1"/>
              </w:numPr>
              <w:rPr>
                <w:rFonts w:ascii="Arial" w:hAnsi="Arial"/>
                <w:szCs w:val="24"/>
              </w:rPr>
            </w:pPr>
            <w:r w:rsidRPr="007074AD">
              <w:rPr>
                <w:rFonts w:ascii="Arial" w:eastAsia="ヒラギノ角ゴ Pro W3" w:hAnsi="Arial"/>
                <w:color w:val="000000"/>
              </w:rPr>
              <w:t>A</w:t>
            </w:r>
            <w:r w:rsidRPr="007074AD">
              <w:rPr>
                <w:rFonts w:ascii="Arial" w:hAnsi="Arial"/>
                <w:szCs w:val="24"/>
              </w:rPr>
              <w:t xml:space="preserve"> Director of Institutional Research and Assessment Report</w:t>
            </w:r>
          </w:p>
          <w:p w:rsidR="007B03D8" w:rsidRPr="007074AD" w:rsidRDefault="007B03D8" w:rsidP="007B03D8">
            <w:pPr>
              <w:tabs>
                <w:tab w:val="left" w:pos="1188"/>
              </w:tabs>
              <w:rPr>
                <w:rFonts w:ascii="Arial" w:eastAsia="ヒラギノ角ゴ Pro W3" w:hAnsi="Arial"/>
                <w:sz w:val="22"/>
              </w:rPr>
            </w:pP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6842D3" w:rsidP="006842D3">
            <w:pPr>
              <w:rPr>
                <w:rFonts w:ascii="Arial" w:hAnsi="Arial"/>
                <w:sz w:val="22"/>
              </w:rPr>
            </w:pPr>
            <w:r w:rsidRPr="007074AD">
              <w:rPr>
                <w:rFonts w:ascii="Arial" w:hAnsi="Arial" w:cs="Helvetica"/>
                <w:sz w:val="22"/>
                <w:szCs w:val="36"/>
              </w:rPr>
              <w:t>Merle Canfield</w:t>
            </w:r>
            <w:r>
              <w:rPr>
                <w:rFonts w:ascii="Arial" w:hAnsi="Arial"/>
                <w:sz w:val="22"/>
              </w:rPr>
              <w:t xml:space="preserve">.  Current list of what classes have turned in requirements for GE assessment.  </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Pr="007074AD" w:rsidRDefault="007B03D8" w:rsidP="007B03D8">
            <w:pPr>
              <w:rPr>
                <w:rFonts w:ascii="Arial" w:hAnsi="Arial"/>
                <w:sz w:val="22"/>
              </w:rPr>
            </w:pPr>
          </w:p>
        </w:tc>
      </w:tr>
      <w:tr w:rsidR="007B03D8" w:rsidRPr="007074AD" w:rsidTr="007B03D8">
        <w:trPr>
          <w:cantSplit/>
          <w:trHeight w:val="238"/>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B03D8">
            <w:pPr>
              <w:rPr>
                <w:rFonts w:ascii="Arial" w:hAnsi="Arial"/>
                <w:sz w:val="22"/>
              </w:rPr>
            </w:pPr>
          </w:p>
          <w:p w:rsidR="007B03D8" w:rsidRPr="007074AD" w:rsidRDefault="007B03D8" w:rsidP="007B03D8">
            <w:pPr>
              <w:pStyle w:val="ListParagraph"/>
              <w:numPr>
                <w:ilvl w:val="0"/>
                <w:numId w:val="1"/>
              </w:numPr>
              <w:rPr>
                <w:rFonts w:ascii="Arial" w:hAnsi="Arial"/>
                <w:szCs w:val="24"/>
              </w:rPr>
            </w:pPr>
            <w:r w:rsidRPr="007074AD">
              <w:rPr>
                <w:rFonts w:ascii="Arial" w:hAnsi="Arial"/>
                <w:szCs w:val="24"/>
              </w:rPr>
              <w:t>Other</w:t>
            </w:r>
          </w:p>
          <w:p w:rsidR="007B03D8" w:rsidRPr="007074AD" w:rsidRDefault="007B03D8" w:rsidP="007B03D8">
            <w:pPr>
              <w:pStyle w:val="ListParagraph"/>
              <w:ind w:left="1440"/>
              <w:rPr>
                <w:rFonts w:ascii="Arial" w:hAnsi="Arial"/>
                <w:szCs w:val="24"/>
              </w:rPr>
            </w:pPr>
            <w:r w:rsidRPr="007074AD">
              <w:rPr>
                <w:rFonts w:ascii="Arial" w:hAnsi="Arial"/>
                <w:szCs w:val="24"/>
              </w:rPr>
              <w:t>“What does GE mean to you?” Brainstorming session</w:t>
            </w:r>
          </w:p>
          <w:p w:rsidR="007B03D8" w:rsidRPr="007074AD" w:rsidRDefault="007B03D8" w:rsidP="007B03D8">
            <w:pPr>
              <w:pStyle w:val="Body1"/>
              <w:ind w:left="1728"/>
              <w:outlineLvl w:val="9"/>
              <w:rPr>
                <w:rFonts w:ascii="Arial" w:eastAsia="Times New Roman" w:hAnsi="Arial"/>
                <w:sz w:val="22"/>
              </w:rPr>
            </w:pP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Default="006842D3" w:rsidP="007B03D8">
            <w:pPr>
              <w:pStyle w:val="Body1"/>
              <w:outlineLvl w:val="9"/>
              <w:rPr>
                <w:rFonts w:ascii="Arial" w:eastAsia="Times New Roman" w:hAnsi="Arial"/>
                <w:sz w:val="22"/>
              </w:rPr>
            </w:pPr>
            <w:r>
              <w:rPr>
                <w:rFonts w:ascii="Arial" w:eastAsia="Times New Roman" w:hAnsi="Arial"/>
                <w:sz w:val="22"/>
              </w:rPr>
              <w:t>So, what is our (SUNY Cortland) GE culture?</w:t>
            </w:r>
          </w:p>
          <w:p w:rsidR="006842D3" w:rsidRDefault="006842D3" w:rsidP="007B03D8">
            <w:pPr>
              <w:pStyle w:val="Body1"/>
              <w:outlineLvl w:val="9"/>
              <w:rPr>
                <w:rFonts w:ascii="Arial" w:eastAsia="Times New Roman" w:hAnsi="Arial"/>
                <w:sz w:val="22"/>
              </w:rPr>
            </w:pPr>
            <w:r>
              <w:rPr>
                <w:rFonts w:ascii="Arial" w:eastAsia="Times New Roman" w:hAnsi="Arial"/>
                <w:sz w:val="22"/>
              </w:rPr>
              <w:t>Engagement</w:t>
            </w:r>
          </w:p>
          <w:p w:rsidR="006842D3" w:rsidRDefault="006842D3" w:rsidP="007B03D8">
            <w:pPr>
              <w:pStyle w:val="Body1"/>
              <w:outlineLvl w:val="9"/>
              <w:rPr>
                <w:rFonts w:ascii="Arial" w:eastAsia="Times New Roman" w:hAnsi="Arial"/>
                <w:sz w:val="22"/>
              </w:rPr>
            </w:pPr>
            <w:r>
              <w:rPr>
                <w:rFonts w:ascii="Arial" w:eastAsia="Times New Roman" w:hAnsi="Arial"/>
                <w:sz w:val="22"/>
              </w:rPr>
              <w:t>Ownership</w:t>
            </w:r>
          </w:p>
          <w:p w:rsidR="006842D3" w:rsidRDefault="006842D3" w:rsidP="007B03D8">
            <w:pPr>
              <w:pStyle w:val="Body1"/>
              <w:outlineLvl w:val="9"/>
              <w:rPr>
                <w:rFonts w:ascii="Arial" w:eastAsia="Times New Roman" w:hAnsi="Arial"/>
                <w:sz w:val="22"/>
              </w:rPr>
            </w:pPr>
            <w:r>
              <w:rPr>
                <w:rFonts w:ascii="Arial" w:eastAsia="Times New Roman" w:hAnsi="Arial"/>
                <w:sz w:val="22"/>
              </w:rPr>
              <w:t>Annual reports</w:t>
            </w:r>
          </w:p>
          <w:p w:rsidR="006842D3" w:rsidRPr="007074AD" w:rsidRDefault="006842D3" w:rsidP="007B03D8">
            <w:pPr>
              <w:pStyle w:val="Body1"/>
              <w:outlineLvl w:val="9"/>
              <w:rPr>
                <w:rFonts w:ascii="Arial" w:eastAsia="Times New Roman" w:hAnsi="Arial"/>
                <w:sz w:val="22"/>
              </w:rPr>
            </w:pP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Pr="007074AD" w:rsidRDefault="006842D3" w:rsidP="007B03D8">
            <w:pPr>
              <w:pStyle w:val="Body1"/>
              <w:tabs>
                <w:tab w:val="left" w:pos="3136"/>
              </w:tabs>
              <w:outlineLvl w:val="9"/>
              <w:rPr>
                <w:rFonts w:ascii="Arial" w:hAnsi="Arial"/>
                <w:sz w:val="22"/>
              </w:rPr>
            </w:pPr>
            <w:r>
              <w:rPr>
                <w:rFonts w:ascii="Arial" w:hAnsi="Arial"/>
                <w:sz w:val="22"/>
              </w:rPr>
              <w:t xml:space="preserve">The group will ruminate on how can GE be more meaningful.  </w:t>
            </w:r>
          </w:p>
        </w:tc>
      </w:tr>
      <w:tr w:rsidR="007B03D8" w:rsidRPr="007074AD">
        <w:trPr>
          <w:cantSplit/>
          <w:trHeight w:val="238"/>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B03D8">
            <w:pPr>
              <w:rPr>
                <w:rFonts w:ascii="Arial" w:hAnsi="Arial"/>
                <w:sz w:val="22"/>
              </w:rPr>
            </w:pP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B03D8">
            <w:pPr>
              <w:pStyle w:val="Body1"/>
              <w:outlineLvl w:val="9"/>
              <w:rPr>
                <w:rFonts w:ascii="Arial" w:eastAsia="Times New Roman" w:hAnsi="Arial"/>
                <w:sz w:val="22"/>
              </w:rPr>
            </w:pP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Pr="007074AD" w:rsidRDefault="007B03D8" w:rsidP="007B03D8">
            <w:pPr>
              <w:pStyle w:val="Body1"/>
              <w:tabs>
                <w:tab w:val="left" w:pos="3136"/>
              </w:tabs>
              <w:outlineLvl w:val="9"/>
              <w:rPr>
                <w:rFonts w:ascii="Arial" w:hAnsi="Arial"/>
                <w:sz w:val="22"/>
              </w:rPr>
            </w:pPr>
          </w:p>
        </w:tc>
      </w:tr>
      <w:tr w:rsidR="007B03D8" w:rsidRPr="007074AD">
        <w:trPr>
          <w:cantSplit/>
          <w:trHeight w:val="238"/>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7B03D8" w:rsidP="007B03D8">
            <w:pPr>
              <w:rPr>
                <w:rFonts w:ascii="Arial" w:hAnsi="Arial"/>
                <w:sz w:val="22"/>
              </w:rPr>
            </w:pPr>
            <w:r w:rsidRPr="007074AD">
              <w:rPr>
                <w:rFonts w:ascii="Arial" w:hAnsi="Arial"/>
                <w:sz w:val="22"/>
              </w:rPr>
              <w:t xml:space="preserve">Meeting adjourned </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7B03D8" w:rsidRPr="007074AD" w:rsidRDefault="002335AA" w:rsidP="007B03D8">
            <w:pPr>
              <w:pStyle w:val="Body1"/>
              <w:outlineLvl w:val="9"/>
              <w:rPr>
                <w:rFonts w:ascii="Arial" w:eastAsia="Times New Roman" w:hAnsi="Arial"/>
                <w:sz w:val="22"/>
              </w:rPr>
            </w:pPr>
            <w:r>
              <w:rPr>
                <w:rFonts w:ascii="Arial" w:eastAsia="Times New Roman" w:hAnsi="Arial"/>
                <w:sz w:val="22"/>
              </w:rPr>
              <w:t>12:35 pm</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7B03D8" w:rsidRPr="007074AD" w:rsidRDefault="007B03D8" w:rsidP="007B03D8">
            <w:pPr>
              <w:pStyle w:val="Body1"/>
              <w:tabs>
                <w:tab w:val="left" w:pos="3136"/>
              </w:tabs>
              <w:outlineLvl w:val="9"/>
              <w:rPr>
                <w:rFonts w:ascii="Arial" w:hAnsi="Arial"/>
                <w:sz w:val="22"/>
              </w:rPr>
            </w:pPr>
          </w:p>
        </w:tc>
      </w:tr>
    </w:tbl>
    <w:p w:rsidR="007B03D8" w:rsidRPr="007074AD" w:rsidRDefault="007B03D8" w:rsidP="00764C06">
      <w:pPr>
        <w:pStyle w:val="Body1"/>
        <w:rPr>
          <w:rFonts w:ascii="Arial" w:hAnsi="Arial"/>
          <w:sz w:val="22"/>
        </w:rPr>
      </w:pPr>
    </w:p>
    <w:p w:rsidR="007B03D8" w:rsidRPr="007074AD" w:rsidRDefault="007B03D8" w:rsidP="00764C06">
      <w:pPr>
        <w:pStyle w:val="Body1"/>
        <w:rPr>
          <w:rFonts w:ascii="Arial" w:hAnsi="Arial"/>
          <w:sz w:val="22"/>
        </w:rPr>
      </w:pPr>
    </w:p>
    <w:p w:rsidR="007B03D8" w:rsidRPr="007074AD" w:rsidRDefault="007B03D8" w:rsidP="00764C06">
      <w:pPr>
        <w:pStyle w:val="Body1"/>
        <w:rPr>
          <w:rFonts w:ascii="Arial" w:hAnsi="Arial"/>
          <w:sz w:val="22"/>
        </w:rPr>
      </w:pPr>
    </w:p>
    <w:p w:rsidR="007B03D8" w:rsidRPr="007074AD" w:rsidRDefault="007B03D8" w:rsidP="00764C06">
      <w:pPr>
        <w:pStyle w:val="Body1"/>
        <w:rPr>
          <w:rFonts w:ascii="Arial" w:hAnsi="Arial"/>
          <w:sz w:val="22"/>
        </w:rPr>
      </w:pPr>
    </w:p>
    <w:p w:rsidR="007B03D8" w:rsidRPr="007074AD" w:rsidRDefault="00764C06" w:rsidP="00764C06">
      <w:pPr>
        <w:pStyle w:val="Body1"/>
        <w:jc w:val="right"/>
        <w:rPr>
          <w:rFonts w:ascii="Arial" w:eastAsia="Times New Roman" w:hAnsi="Arial"/>
          <w:color w:val="auto"/>
          <w:sz w:val="22"/>
        </w:rPr>
      </w:pPr>
      <w:r w:rsidRPr="007074AD">
        <w:rPr>
          <w:rFonts w:ascii="Arial" w:eastAsia="Times New Roman" w:hAnsi="Arial"/>
          <w:sz w:val="22"/>
        </w:rPr>
        <w:t xml:space="preserve">Respectfully Submitted by </w:t>
      </w:r>
      <w:r w:rsidR="007B03D8">
        <w:rPr>
          <w:rFonts w:ascii="Arial" w:eastAsia="Times New Roman" w:hAnsi="Arial"/>
          <w:sz w:val="22"/>
        </w:rPr>
        <w:t>Jim Hokanson, March</w:t>
      </w:r>
      <w:r w:rsidR="007B03D8" w:rsidRPr="007074AD">
        <w:rPr>
          <w:rFonts w:ascii="Arial" w:eastAsia="Times New Roman" w:hAnsi="Arial"/>
          <w:sz w:val="22"/>
        </w:rPr>
        <w:t xml:space="preserve"> 16th</w:t>
      </w:r>
    </w:p>
    <w:sectPr w:rsidR="007B03D8" w:rsidRPr="007074AD" w:rsidSect="007B03D8">
      <w:pgSz w:w="15840" w:h="12240" w:orient="landscape"/>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altName w:val="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25E1A"/>
    <w:multiLevelType w:val="hybridMultilevel"/>
    <w:tmpl w:val="95CEA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12FDD"/>
    <w:multiLevelType w:val="hybridMultilevel"/>
    <w:tmpl w:val="EF02B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0B0AA4"/>
    <w:multiLevelType w:val="hybridMultilevel"/>
    <w:tmpl w:val="95E28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20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764C06"/>
    <w:rsid w:val="00135AC9"/>
    <w:rsid w:val="00137956"/>
    <w:rsid w:val="001D4C34"/>
    <w:rsid w:val="001D6A70"/>
    <w:rsid w:val="002335AA"/>
    <w:rsid w:val="004A63F1"/>
    <w:rsid w:val="00504D2B"/>
    <w:rsid w:val="00531037"/>
    <w:rsid w:val="006842D3"/>
    <w:rsid w:val="006C6AFB"/>
    <w:rsid w:val="00720407"/>
    <w:rsid w:val="00764C06"/>
    <w:rsid w:val="007B03D8"/>
    <w:rsid w:val="008B2A1F"/>
    <w:rsid w:val="00A92EE2"/>
    <w:rsid w:val="00C21BD9"/>
    <w:rsid w:val="00D62922"/>
    <w:rsid w:val="00F30ED2"/>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3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31CD"/>
    <w:pPr>
      <w:outlineLvl w:val="0"/>
    </w:pPr>
    <w:rPr>
      <w:rFonts w:ascii="Helvetica" w:eastAsia="ヒラギノ角ゴ Pro W3" w:hAnsi="Helvetica"/>
      <w:color w:val="000000"/>
      <w:sz w:val="24"/>
    </w:rPr>
  </w:style>
  <w:style w:type="paragraph" w:styleId="ListParagraph">
    <w:name w:val="List Paragraph"/>
    <w:basedOn w:val="Normal"/>
    <w:uiPriority w:val="34"/>
    <w:qFormat/>
    <w:rsid w:val="007074AD"/>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3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31CD"/>
    <w:pPr>
      <w:outlineLvl w:val="0"/>
    </w:pPr>
    <w:rPr>
      <w:rFonts w:ascii="Helvetica" w:eastAsia="ヒラギノ角ゴ Pro W3" w:hAnsi="Helvetica"/>
      <w:color w:val="000000"/>
      <w:sz w:val="24"/>
    </w:rPr>
  </w:style>
  <w:style w:type="paragraph" w:styleId="ListParagraph">
    <w:name w:val="List Paragraph"/>
    <w:basedOn w:val="Normal"/>
    <w:uiPriority w:val="34"/>
    <w:qFormat/>
    <w:rsid w:val="007074AD"/>
    <w:pPr>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Company>SUNY Cortland</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Hokanson</dc:creator>
  <cp:lastModifiedBy>SUNY Cortland</cp:lastModifiedBy>
  <cp:revision>2</cp:revision>
  <dcterms:created xsi:type="dcterms:W3CDTF">2012-04-15T20:39:00Z</dcterms:created>
  <dcterms:modified xsi:type="dcterms:W3CDTF">2012-04-15T20:39:00Z</dcterms:modified>
</cp:coreProperties>
</file>