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AB1A2C" w:rsidRPr="00AB1A2C" w:rsidRDefault="00AB1A2C" w:rsidP="00AB1A2C">
      <w:pPr>
        <w:jc w:val="center"/>
        <w:rPr>
          <w:rFonts w:ascii="Calibri" w:hAnsi="Calibri" w:cs="Arial"/>
          <w:sz w:val="28"/>
          <w:szCs w:val="28"/>
        </w:rPr>
      </w:pPr>
      <w:r w:rsidRPr="00AB1A2C">
        <w:rPr>
          <w:rFonts w:ascii="Calibri" w:hAnsi="Calibri" w:cs="Arial"/>
          <w:sz w:val="28"/>
          <w:szCs w:val="28"/>
        </w:rPr>
        <w:t xml:space="preserve">General Education Committee Meeting Minutes </w:t>
      </w:r>
    </w:p>
    <w:p w:rsidR="00AB1A2C" w:rsidRPr="00AB1A2C" w:rsidRDefault="00E770AD" w:rsidP="00AB1A2C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November </w:t>
      </w:r>
      <w:r w:rsidR="0040182D">
        <w:rPr>
          <w:rFonts w:ascii="Calibri" w:hAnsi="Calibri" w:cs="Arial"/>
          <w:sz w:val="28"/>
          <w:szCs w:val="28"/>
        </w:rPr>
        <w:t>29</w:t>
      </w:r>
      <w:r w:rsidR="00AB1A2C" w:rsidRPr="00AB1A2C">
        <w:rPr>
          <w:rFonts w:ascii="Calibri" w:hAnsi="Calibri" w:cs="Arial"/>
          <w:sz w:val="28"/>
          <w:szCs w:val="28"/>
        </w:rPr>
        <w:t>, 2012</w:t>
      </w:r>
    </w:p>
    <w:p w:rsidR="00AB1A2C" w:rsidRPr="00AB1A2C" w:rsidRDefault="00AB1A2C" w:rsidP="00AB1A2C">
      <w:pPr>
        <w:jc w:val="center"/>
        <w:rPr>
          <w:rFonts w:ascii="Arial" w:hAnsi="Arial" w:cs="Arial"/>
          <w:sz w:val="20"/>
          <w:szCs w:val="20"/>
        </w:rPr>
      </w:pPr>
      <w:r w:rsidRPr="00AB1A2C">
        <w:rPr>
          <w:rFonts w:ascii="Arial" w:hAnsi="Arial" w:cs="Arial"/>
          <w:sz w:val="20"/>
          <w:szCs w:val="20"/>
        </w:rPr>
        <w:t xml:space="preserve"> </w:t>
      </w:r>
    </w:p>
    <w:p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Present</w:t>
      </w:r>
      <w:r w:rsidRPr="00AB1A2C">
        <w:rPr>
          <w:rFonts w:ascii="Calibri" w:hAnsi="Calibri" w:cs="Arial"/>
          <w:sz w:val="22"/>
          <w:szCs w:val="22"/>
        </w:rPr>
        <w:t xml:space="preserve">:  </w:t>
      </w:r>
      <w:r w:rsidR="00E770AD">
        <w:rPr>
          <w:rFonts w:ascii="Calibri" w:hAnsi="Calibri" w:cs="Arial"/>
          <w:sz w:val="22"/>
          <w:szCs w:val="22"/>
        </w:rPr>
        <w:t xml:space="preserve">Brooke Burk, Merle Canfield, Yomee Lee, </w:t>
      </w:r>
      <w:r w:rsidR="0040182D">
        <w:rPr>
          <w:rFonts w:ascii="Calibri" w:hAnsi="Calibri" w:cs="Arial"/>
          <w:sz w:val="22"/>
          <w:szCs w:val="22"/>
        </w:rPr>
        <w:t xml:space="preserve">Sonia Sharma, </w:t>
      </w:r>
      <w:r w:rsidR="00E770AD">
        <w:rPr>
          <w:rFonts w:ascii="Calibri" w:hAnsi="Calibri" w:cs="Arial"/>
          <w:sz w:val="22"/>
          <w:szCs w:val="22"/>
        </w:rPr>
        <w:t>Abby Thomas</w:t>
      </w:r>
      <w:r w:rsidR="0040182D">
        <w:rPr>
          <w:rFonts w:ascii="Calibri" w:hAnsi="Calibri" w:cs="Arial"/>
          <w:sz w:val="22"/>
          <w:szCs w:val="22"/>
        </w:rPr>
        <w:t>, Carol Van Der Karr</w:t>
      </w:r>
    </w:p>
    <w:p w:rsidR="00AB1A2C" w:rsidRPr="00AB1A2C" w:rsidRDefault="00AB1A2C" w:rsidP="00AB1A2C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Absent:</w:t>
      </w:r>
      <w:r w:rsidRPr="00AB1A2C">
        <w:rPr>
          <w:rFonts w:ascii="Calibri" w:hAnsi="Calibri" w:cs="Arial"/>
          <w:sz w:val="22"/>
          <w:szCs w:val="22"/>
        </w:rPr>
        <w:t xml:space="preserve">  </w:t>
      </w:r>
      <w:r w:rsidR="00E770AD">
        <w:rPr>
          <w:rFonts w:ascii="Calibri" w:hAnsi="Calibri" w:cs="Arial"/>
          <w:sz w:val="22"/>
          <w:szCs w:val="22"/>
        </w:rPr>
        <w:t xml:space="preserve">Janet Duncan, </w:t>
      </w:r>
      <w:r w:rsidR="0040182D">
        <w:rPr>
          <w:rFonts w:ascii="Calibri" w:hAnsi="Calibri" w:cs="Arial"/>
          <w:sz w:val="22"/>
          <w:szCs w:val="22"/>
        </w:rPr>
        <w:t xml:space="preserve">Anita Kuiken, </w:t>
      </w:r>
      <w:r w:rsidR="00E770AD">
        <w:rPr>
          <w:rFonts w:ascii="Calibri" w:hAnsi="Calibri" w:cs="Arial"/>
          <w:sz w:val="22"/>
          <w:szCs w:val="22"/>
        </w:rPr>
        <w:t xml:space="preserve">Kathy Lawrence, Bruce Mattingly, </w:t>
      </w:r>
      <w:r w:rsidR="0040182D">
        <w:rPr>
          <w:rFonts w:ascii="Calibri" w:hAnsi="Calibri" w:cs="Arial"/>
          <w:sz w:val="22"/>
          <w:szCs w:val="22"/>
        </w:rPr>
        <w:t>Bob Spitzer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438"/>
        <w:gridCol w:w="6660"/>
        <w:gridCol w:w="3966"/>
      </w:tblGrid>
      <w:tr w:rsidR="0073369C" w:rsidRPr="00783B86" w:rsidTr="00AD66F5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AB1A2C" w:rsidRPr="00506C33" w:rsidTr="00AD66F5">
        <w:trPr>
          <w:trHeight w:val="432"/>
        </w:trPr>
        <w:tc>
          <w:tcPr>
            <w:tcW w:w="343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E770AD" w:rsidP="00AB1A2C">
            <w:pPr>
              <w:numPr>
                <w:ilvl w:val="0"/>
                <w:numId w:val="12"/>
              </w:numPr>
              <w:tabs>
                <w:tab w:val="left" w:pos="360"/>
              </w:tabs>
              <w:contextualSpacing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Minutes from previous meeting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E770AD" w:rsidP="004018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Minutes from </w:t>
            </w:r>
            <w:r w:rsidR="0040182D">
              <w:rPr>
                <w:rFonts w:ascii="Calibri" w:hAnsi="Calibri"/>
                <w:sz w:val="22"/>
              </w:rPr>
              <w:t>November 15</w:t>
            </w:r>
            <w:r>
              <w:rPr>
                <w:rFonts w:ascii="Calibri" w:hAnsi="Calibri"/>
                <w:sz w:val="22"/>
              </w:rPr>
              <w:t xml:space="preserve"> meeting </w:t>
            </w:r>
            <w:r w:rsidR="0040182D">
              <w:rPr>
                <w:rFonts w:ascii="Calibri" w:hAnsi="Calibri"/>
                <w:sz w:val="22"/>
              </w:rPr>
              <w:t>approved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96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836972" w:rsidRDefault="00AB1A2C" w:rsidP="00AB1A2C">
            <w:pPr>
              <w:contextualSpacing/>
              <w:rPr>
                <w:rFonts w:ascii="Calibri" w:hAnsi="Calibri"/>
                <w:sz w:val="22"/>
              </w:rPr>
            </w:pPr>
          </w:p>
        </w:tc>
      </w:tr>
      <w:tr w:rsidR="00AB1A2C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1A2C" w:rsidRPr="00E770AD" w:rsidRDefault="0040182D" w:rsidP="00E770A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COM 301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360B2" w:rsidRPr="0040182D" w:rsidRDefault="0040182D" w:rsidP="004018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Information requested from Communications Studies department was received in reference to the contingent pass.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360B2" w:rsidRPr="0040182D" w:rsidRDefault="0040182D" w:rsidP="004018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Course proposal will be forwarded to SUNY.</w:t>
            </w:r>
          </w:p>
        </w:tc>
      </w:tr>
      <w:tr w:rsidR="009B42B0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1360B2" w:rsidRDefault="0040182D" w:rsidP="001360B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Committees to review materials in the Spring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360B2" w:rsidRDefault="0040182D" w:rsidP="004018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 will be moving forward with assessing 3 GE categories.  Assessment of 10a has been put on hold because it was assessed in 2010. Committee </w:t>
            </w:r>
            <w:r w:rsidR="001727F2">
              <w:rPr>
                <w:rFonts w:ascii="Calibri" w:hAnsi="Calibri"/>
                <w:sz w:val="22"/>
                <w:szCs w:val="22"/>
              </w:rPr>
              <w:t xml:space="preserve">members were asked to identify </w:t>
            </w:r>
            <w:r>
              <w:rPr>
                <w:rFonts w:ascii="Calibri" w:hAnsi="Calibri"/>
                <w:sz w:val="22"/>
                <w:szCs w:val="22"/>
              </w:rPr>
              <w:t xml:space="preserve">one category to work with specifically </w:t>
            </w:r>
            <w:r w:rsidR="001727F2">
              <w:rPr>
                <w:rFonts w:ascii="Calibri" w:hAnsi="Calibri"/>
                <w:sz w:val="22"/>
                <w:szCs w:val="22"/>
              </w:rPr>
              <w:t xml:space="preserve">to assist in review. </w:t>
            </w:r>
            <w:r>
              <w:rPr>
                <w:rFonts w:ascii="Calibri" w:hAnsi="Calibri"/>
                <w:sz w:val="22"/>
                <w:szCs w:val="22"/>
              </w:rPr>
              <w:t>The following categories will be assessed</w:t>
            </w:r>
            <w:r w:rsidR="001727F2">
              <w:rPr>
                <w:rFonts w:ascii="Calibri" w:hAnsi="Calibri"/>
                <w:sz w:val="22"/>
                <w:szCs w:val="22"/>
              </w:rPr>
              <w:t xml:space="preserve"> and the names listed indicate committee members who will be assisting in the review of that category:</w:t>
            </w:r>
          </w:p>
          <w:p w:rsidR="001727F2" w:rsidRDefault="001727F2" w:rsidP="001727F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6 Contrasting Cultures (Yomee)</w:t>
            </w:r>
          </w:p>
          <w:p w:rsidR="001727F2" w:rsidRDefault="001727F2" w:rsidP="001727F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7 Humanities (Abby)</w:t>
            </w:r>
          </w:p>
          <w:p w:rsidR="001727F2" w:rsidRPr="001727F2" w:rsidRDefault="001727F2" w:rsidP="001727F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 12 Science, Technology, Values and Society (Sonia)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360B2" w:rsidRPr="001727F2" w:rsidRDefault="001727F2" w:rsidP="001727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committee members are asked to identify a category they are interested in helping review.  </w:t>
            </w:r>
          </w:p>
        </w:tc>
      </w:tr>
      <w:tr w:rsidR="00851DF3" w:rsidRPr="00506C33" w:rsidTr="00AD66F5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2A29DD" w:rsidRDefault="001727F2" w:rsidP="002A29DD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Assessment review update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2EF7" w:rsidRPr="001727F2" w:rsidRDefault="001727F2" w:rsidP="001727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or 2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faculty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have turned in their summary/feedback on the assessment results they have received.  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AB1A2C" w:rsidRDefault="001727F2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Brooke will try to share answers to question #6 (how can we make this assessment more useful) as they come in for the committee to consider.</w:t>
            </w:r>
          </w:p>
        </w:tc>
      </w:tr>
      <w:tr w:rsidR="00210B86" w:rsidRPr="00506C33" w:rsidTr="00AD66F5">
        <w:trPr>
          <w:trHeight w:val="390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EB4898" w:rsidRDefault="001727F2" w:rsidP="00AB2EF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 of Institutional Research and Assessment report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B2EF7" w:rsidRPr="001727F2" w:rsidRDefault="001727F2" w:rsidP="001727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Letter</w:t>
            </w:r>
            <w:r w:rsidR="00595E42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for selected courses are getting ready to be sent out. Merle used a random selection of 30% of courses being offered in each category. A list of selected courses was shared.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AB1A2C" w:rsidRDefault="00210B86" w:rsidP="00595E4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E64199" w:rsidRPr="00506C33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3510EF" w:rsidRDefault="003510EF" w:rsidP="003510EF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SUNY GE recommendation (7 out of 10) discussion</w:t>
            </w:r>
          </w:p>
          <w:p w:rsidR="003510EF" w:rsidRPr="00AB1A2C" w:rsidRDefault="003510EF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A33B76" w:rsidRDefault="003510EF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Carol reported on the SUNY recommendation and shared information from a recent SUNY meeting she attended.  </w:t>
            </w:r>
          </w:p>
          <w:p w:rsidR="003510EF" w:rsidRDefault="003510EF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Really talking about 5 out of 8 because SUNY is going to require Math and Basic Communication.</w:t>
            </w:r>
          </w:p>
          <w:p w:rsidR="003510EF" w:rsidRDefault="003510EF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SUNY may start to look at why schools have more GE requirements.</w:t>
            </w:r>
          </w:p>
          <w:p w:rsidR="003510EF" w:rsidRDefault="003510EF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currently have the ability to use 7 out of 10 with 30 credits of GE.</w:t>
            </w:r>
          </w:p>
          <w:p w:rsidR="003510EF" w:rsidRDefault="00595E42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 sure what the mandate will be, but there is a request for it to be as clear as possible.</w:t>
            </w:r>
          </w:p>
          <w:p w:rsidR="00595E42" w:rsidRDefault="00595E42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This will need to be a larger campus discussion.</w:t>
            </w:r>
          </w:p>
          <w:p w:rsidR="00595E42" w:rsidRDefault="00595E42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role of the GE committee in this process will be to possibly make a recommendation, survey the campus and oversee the discussion with possibly a proposal to faculty senate. This also could be a campus referendum. </w:t>
            </w:r>
          </w:p>
          <w:p w:rsidR="00595E42" w:rsidRDefault="00595E42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faculty senate recommendation would then need to be approved by the Provost and then the President.</w:t>
            </w:r>
          </w:p>
          <w:p w:rsidR="00595E42" w:rsidRDefault="00595E42" w:rsidP="003510EF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Things to consider in this discussion:</w:t>
            </w:r>
          </w:p>
          <w:p w:rsidR="00595E42" w:rsidRPr="00595E42" w:rsidRDefault="00595E42" w:rsidP="00595E4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595E42">
              <w:rPr>
                <w:rFonts w:ascii="Calibri" w:hAnsi="Calibri"/>
                <w:sz w:val="22"/>
                <w:szCs w:val="22"/>
              </w:rPr>
              <w:t>What importance do we put on a liberal education?</w:t>
            </w:r>
          </w:p>
          <w:p w:rsidR="00595E42" w:rsidRDefault="00595E42" w:rsidP="00595E4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are the implications of a change?</w:t>
            </w:r>
          </w:p>
          <w:p w:rsidR="00595E42" w:rsidRDefault="00595E42" w:rsidP="00595E4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Consideration of resource allocations</w:t>
            </w:r>
          </w:p>
          <w:p w:rsidR="00595E42" w:rsidRPr="003510EF" w:rsidRDefault="00595E42" w:rsidP="00595E4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Should GE be all lower division course work?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595E42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Carol will send out a draft of the SUNY transfer mobility statement when the most up to date version is available.  </w:t>
            </w:r>
          </w:p>
          <w:p w:rsidR="00595E42" w:rsidRDefault="00595E42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595E42" w:rsidRPr="00AB1A2C" w:rsidRDefault="00595E42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campus conversation is likely to happen in the spring.</w:t>
            </w:r>
          </w:p>
        </w:tc>
      </w:tr>
      <w:tr w:rsidR="00E64199" w:rsidRPr="00506C33" w:rsidTr="00AD66F5">
        <w:trPr>
          <w:trHeight w:val="435"/>
        </w:trPr>
        <w:tc>
          <w:tcPr>
            <w:tcW w:w="343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AB1A2C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1727F2" w:rsidRDefault="001727F2" w:rsidP="001727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adjourned 9:</w:t>
            </w:r>
            <w:r w:rsidR="00595E42">
              <w:rPr>
                <w:rFonts w:ascii="Calibri" w:hAnsi="Calibri"/>
                <w:sz w:val="22"/>
                <w:szCs w:val="22"/>
              </w:rPr>
              <w:t>45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  <w:p w:rsidR="00E64199" w:rsidRPr="00AB1A2C" w:rsidRDefault="001727F2" w:rsidP="00595E4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Next meeting </w:t>
            </w:r>
            <w:r w:rsidR="00595E42">
              <w:rPr>
                <w:rFonts w:ascii="Calibri" w:hAnsi="Calibri"/>
                <w:sz w:val="22"/>
                <w:szCs w:val="22"/>
              </w:rPr>
              <w:t>December 13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AB1A2C" w:rsidRDefault="00E64199" w:rsidP="003D462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A33B76">
        <w:rPr>
          <w:rFonts w:ascii="Calibri" w:hAnsi="Calibri" w:cs="Arial"/>
          <w:sz w:val="18"/>
          <w:szCs w:val="18"/>
        </w:rPr>
        <w:t>Abby Thomas</w:t>
      </w:r>
    </w:p>
    <w:p w:rsidR="00EE5181" w:rsidRDefault="00EE5181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12/13/2012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EF" w:rsidRDefault="003510EF" w:rsidP="00097DBB">
      <w:r>
        <w:separator/>
      </w:r>
    </w:p>
  </w:endnote>
  <w:endnote w:type="continuationSeparator" w:id="0">
    <w:p w:rsidR="003510EF" w:rsidRDefault="003510EF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0EF" w:rsidRPr="00E57F3A" w:rsidRDefault="003510EF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EF" w:rsidRDefault="003510EF" w:rsidP="00097DBB">
      <w:r>
        <w:separator/>
      </w:r>
    </w:p>
  </w:footnote>
  <w:footnote w:type="continuationSeparator" w:id="0">
    <w:p w:rsidR="003510EF" w:rsidRDefault="003510EF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5316"/>
    <w:multiLevelType w:val="hybridMultilevel"/>
    <w:tmpl w:val="CD32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C19F4"/>
    <w:multiLevelType w:val="hybridMultilevel"/>
    <w:tmpl w:val="D1880E0C"/>
    <w:lvl w:ilvl="0" w:tplc="58B0E14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02354"/>
    <w:multiLevelType w:val="hybridMultilevel"/>
    <w:tmpl w:val="AC024DA2"/>
    <w:lvl w:ilvl="0" w:tplc="6C266448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CCF"/>
    <w:multiLevelType w:val="hybridMultilevel"/>
    <w:tmpl w:val="AE1E4446"/>
    <w:lvl w:ilvl="0" w:tplc="D5B06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60B2"/>
    <w:rsid w:val="001374F6"/>
    <w:rsid w:val="00151271"/>
    <w:rsid w:val="00155FD9"/>
    <w:rsid w:val="00160A2C"/>
    <w:rsid w:val="00160E0D"/>
    <w:rsid w:val="001657AF"/>
    <w:rsid w:val="001727F2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67759"/>
    <w:rsid w:val="0028210B"/>
    <w:rsid w:val="00286DE5"/>
    <w:rsid w:val="002917D0"/>
    <w:rsid w:val="00292BB9"/>
    <w:rsid w:val="00295542"/>
    <w:rsid w:val="002A1AEE"/>
    <w:rsid w:val="002A29DD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2664B"/>
    <w:rsid w:val="00331F16"/>
    <w:rsid w:val="00332AEE"/>
    <w:rsid w:val="003336C2"/>
    <w:rsid w:val="00340D1F"/>
    <w:rsid w:val="00347118"/>
    <w:rsid w:val="003510EF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0182D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5E42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3B76"/>
    <w:rsid w:val="00A35D87"/>
    <w:rsid w:val="00A4254B"/>
    <w:rsid w:val="00A50023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1A2C"/>
    <w:rsid w:val="00AB2EF7"/>
    <w:rsid w:val="00AD335B"/>
    <w:rsid w:val="00AD4A4B"/>
    <w:rsid w:val="00AD66F5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623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3380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770AD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B4898"/>
    <w:rsid w:val="00EC39AD"/>
    <w:rsid w:val="00EC4119"/>
    <w:rsid w:val="00EC6335"/>
    <w:rsid w:val="00ED3359"/>
    <w:rsid w:val="00ED6B18"/>
    <w:rsid w:val="00EE219F"/>
    <w:rsid w:val="00EE5181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0760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2</cp:revision>
  <cp:lastPrinted>2012-02-03T14:02:00Z</cp:lastPrinted>
  <dcterms:created xsi:type="dcterms:W3CDTF">2012-12-13T15:09:00Z</dcterms:created>
  <dcterms:modified xsi:type="dcterms:W3CDTF">2012-12-13T15:09:00Z</dcterms:modified>
</cp:coreProperties>
</file>