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09CD3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3B6D2311" w14:textId="77777777" w:rsidR="00AB1A2C" w:rsidRPr="00AB1A2C" w:rsidRDefault="00AB1A2C" w:rsidP="00AB1A2C">
      <w:pPr>
        <w:jc w:val="center"/>
        <w:rPr>
          <w:rFonts w:ascii="Calibri" w:hAnsi="Calibri" w:cs="Arial"/>
          <w:sz w:val="28"/>
          <w:szCs w:val="28"/>
        </w:rPr>
      </w:pPr>
      <w:r w:rsidRPr="00AB1A2C">
        <w:rPr>
          <w:rFonts w:ascii="Calibri" w:hAnsi="Calibri" w:cs="Arial"/>
          <w:sz w:val="28"/>
          <w:szCs w:val="28"/>
        </w:rPr>
        <w:t xml:space="preserve">General Education Committee Meeting Minutes </w:t>
      </w:r>
    </w:p>
    <w:p w14:paraId="64E729E7" w14:textId="4BAF76D4" w:rsidR="00AB1A2C" w:rsidRPr="00AB1A2C" w:rsidRDefault="0095490C" w:rsidP="00AB1A2C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15</w:t>
      </w:r>
      <w:r w:rsidR="00AB1A2C" w:rsidRPr="00AB1A2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November</w:t>
      </w:r>
      <w:r w:rsidR="00AB1A2C" w:rsidRPr="00AB1A2C">
        <w:rPr>
          <w:rFonts w:ascii="Calibri" w:hAnsi="Calibri" w:cs="Arial"/>
          <w:sz w:val="28"/>
          <w:szCs w:val="28"/>
        </w:rPr>
        <w:t>, 2012</w:t>
      </w:r>
    </w:p>
    <w:p w14:paraId="133F5DE2" w14:textId="77777777" w:rsidR="00AB1A2C" w:rsidRPr="00AB1A2C" w:rsidRDefault="00AB1A2C" w:rsidP="00AB1A2C">
      <w:pPr>
        <w:jc w:val="center"/>
        <w:rPr>
          <w:rFonts w:ascii="Arial" w:hAnsi="Arial" w:cs="Arial"/>
          <w:sz w:val="20"/>
          <w:szCs w:val="20"/>
        </w:rPr>
      </w:pPr>
      <w:r w:rsidRPr="00AB1A2C">
        <w:rPr>
          <w:rFonts w:ascii="Arial" w:hAnsi="Arial" w:cs="Arial"/>
          <w:sz w:val="20"/>
          <w:szCs w:val="20"/>
        </w:rPr>
        <w:t xml:space="preserve"> </w:t>
      </w:r>
    </w:p>
    <w:p w14:paraId="01016E36" w14:textId="7AC117A1" w:rsidR="00AB1A2C" w:rsidRPr="00AB1A2C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Present</w:t>
      </w:r>
      <w:r w:rsidRPr="00AB1A2C">
        <w:rPr>
          <w:rFonts w:ascii="Calibri" w:hAnsi="Calibri" w:cs="Arial"/>
          <w:sz w:val="22"/>
          <w:szCs w:val="22"/>
        </w:rPr>
        <w:t xml:space="preserve">:  </w:t>
      </w:r>
      <w:r w:rsidR="00EC233A">
        <w:rPr>
          <w:rFonts w:ascii="Calibri" w:hAnsi="Calibri" w:cs="Arial"/>
          <w:sz w:val="22"/>
          <w:szCs w:val="22"/>
        </w:rPr>
        <w:t>Carol</w:t>
      </w:r>
      <w:r w:rsidR="00D57FEF">
        <w:rPr>
          <w:rFonts w:ascii="Calibri" w:hAnsi="Calibri" w:cs="Arial"/>
          <w:sz w:val="22"/>
          <w:szCs w:val="22"/>
        </w:rPr>
        <w:t xml:space="preserve"> Van Der Karr</w:t>
      </w:r>
      <w:r w:rsidR="00EC233A">
        <w:rPr>
          <w:rFonts w:ascii="Calibri" w:hAnsi="Calibri" w:cs="Arial"/>
          <w:sz w:val="22"/>
          <w:szCs w:val="22"/>
        </w:rPr>
        <w:t>, Merle</w:t>
      </w:r>
      <w:r w:rsidR="00F60837">
        <w:rPr>
          <w:rFonts w:ascii="Calibri" w:hAnsi="Calibri" w:cs="Arial"/>
          <w:sz w:val="22"/>
          <w:szCs w:val="22"/>
        </w:rPr>
        <w:t xml:space="preserve"> Canfield</w:t>
      </w:r>
      <w:r w:rsidR="00EC233A">
        <w:rPr>
          <w:rFonts w:ascii="Calibri" w:hAnsi="Calibri" w:cs="Arial"/>
          <w:sz w:val="22"/>
          <w:szCs w:val="22"/>
        </w:rPr>
        <w:t>, Abby</w:t>
      </w:r>
      <w:r w:rsidR="0095490C">
        <w:rPr>
          <w:rFonts w:ascii="Calibri" w:hAnsi="Calibri" w:cs="Arial"/>
          <w:sz w:val="22"/>
          <w:szCs w:val="22"/>
        </w:rPr>
        <w:t xml:space="preserve"> Thomas</w:t>
      </w:r>
      <w:r w:rsidR="00565641">
        <w:rPr>
          <w:rFonts w:ascii="Calibri" w:hAnsi="Calibri" w:cs="Arial"/>
          <w:sz w:val="22"/>
          <w:szCs w:val="22"/>
        </w:rPr>
        <w:t xml:space="preserve">, </w:t>
      </w:r>
      <w:r w:rsidR="00EC233A">
        <w:rPr>
          <w:rFonts w:ascii="Calibri" w:hAnsi="Calibri" w:cs="Arial"/>
          <w:sz w:val="22"/>
          <w:szCs w:val="22"/>
        </w:rPr>
        <w:t>Anita</w:t>
      </w:r>
      <w:r w:rsidR="00F60837">
        <w:rPr>
          <w:rFonts w:ascii="Calibri" w:hAnsi="Calibri" w:cs="Arial"/>
          <w:sz w:val="22"/>
          <w:szCs w:val="22"/>
        </w:rPr>
        <w:t xml:space="preserve"> Kui</w:t>
      </w:r>
      <w:r w:rsidR="00D57FEF">
        <w:rPr>
          <w:rFonts w:ascii="Calibri" w:hAnsi="Calibri" w:cs="Arial"/>
          <w:sz w:val="22"/>
          <w:szCs w:val="22"/>
        </w:rPr>
        <w:t>ken</w:t>
      </w:r>
      <w:r w:rsidR="00EC233A">
        <w:rPr>
          <w:rFonts w:ascii="Calibri" w:hAnsi="Calibri" w:cs="Arial"/>
          <w:sz w:val="22"/>
          <w:szCs w:val="22"/>
        </w:rPr>
        <w:t>, Yomee</w:t>
      </w:r>
      <w:r w:rsidR="00F60837">
        <w:rPr>
          <w:rFonts w:ascii="Calibri" w:hAnsi="Calibri" w:cs="Arial"/>
          <w:sz w:val="22"/>
          <w:szCs w:val="22"/>
        </w:rPr>
        <w:t xml:space="preserve"> Lee</w:t>
      </w:r>
      <w:r w:rsidR="00EC233A">
        <w:rPr>
          <w:rFonts w:ascii="Calibri" w:hAnsi="Calibri" w:cs="Arial"/>
          <w:sz w:val="22"/>
          <w:szCs w:val="22"/>
        </w:rPr>
        <w:t>, Sonia</w:t>
      </w:r>
      <w:r w:rsidR="0095490C">
        <w:rPr>
          <w:rFonts w:ascii="Calibri" w:hAnsi="Calibri" w:cs="Arial"/>
          <w:sz w:val="22"/>
          <w:szCs w:val="22"/>
        </w:rPr>
        <w:t xml:space="preserve"> Sharma</w:t>
      </w:r>
      <w:r w:rsidR="00F60837">
        <w:rPr>
          <w:rFonts w:ascii="Calibri" w:hAnsi="Calibri" w:cs="Arial"/>
          <w:sz w:val="22"/>
          <w:szCs w:val="22"/>
        </w:rPr>
        <w:t>, Brooke Burk</w:t>
      </w:r>
    </w:p>
    <w:p w14:paraId="2EEDCF8E" w14:textId="04D4DC4E" w:rsidR="00AB1A2C" w:rsidRPr="00AB1A2C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Absent:</w:t>
      </w:r>
      <w:r w:rsidRPr="00AB1A2C">
        <w:rPr>
          <w:rFonts w:ascii="Calibri" w:hAnsi="Calibri" w:cs="Arial"/>
          <w:sz w:val="22"/>
          <w:szCs w:val="22"/>
        </w:rPr>
        <w:t xml:space="preserve">  </w:t>
      </w:r>
      <w:r w:rsidR="00F60837">
        <w:rPr>
          <w:rFonts w:ascii="Calibri" w:hAnsi="Calibri" w:cs="Arial"/>
          <w:sz w:val="22"/>
          <w:szCs w:val="22"/>
        </w:rPr>
        <w:t>Janet Duncan, Kathleen Lawrence, Bruce Mattingly, Tawana McNair, Robert Spitzer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438"/>
        <w:gridCol w:w="6660"/>
        <w:gridCol w:w="3966"/>
      </w:tblGrid>
      <w:tr w:rsidR="0073369C" w:rsidRPr="00783B86" w14:paraId="269BE7A9" w14:textId="77777777" w:rsidTr="00AD66F5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4404E6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620DC11E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44B67464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D57FEF" w:rsidRPr="00506C33" w14:paraId="1F33E117" w14:textId="77777777" w:rsidTr="00AD66F5">
        <w:trPr>
          <w:trHeight w:val="432"/>
        </w:trPr>
        <w:tc>
          <w:tcPr>
            <w:tcW w:w="343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BBFCE93" w14:textId="2317E1F7" w:rsidR="00D57FEF" w:rsidRDefault="001A57A8" w:rsidP="00D57FEF">
            <w:pPr>
              <w:tabs>
                <w:tab w:val="left" w:pos="360"/>
              </w:tabs>
              <w:contextualSpacing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D57FEF">
              <w:rPr>
                <w:rFonts w:ascii="Calibri" w:hAnsi="Calibri"/>
                <w:sz w:val="22"/>
              </w:rPr>
              <w:t>Approval of November 2</w:t>
            </w:r>
            <w:r w:rsidR="009A5B88">
              <w:rPr>
                <w:rFonts w:ascii="Calibri" w:hAnsi="Calibri"/>
                <w:sz w:val="22"/>
              </w:rPr>
              <w:t>,</w:t>
            </w:r>
            <w:r w:rsidR="00D57FEF">
              <w:rPr>
                <w:rFonts w:ascii="Calibri" w:hAnsi="Calibri"/>
                <w:sz w:val="22"/>
              </w:rPr>
              <w:t xml:space="preserve"> Minutes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864BAFC" w14:textId="5B1B253A" w:rsidR="00D57FEF" w:rsidRDefault="00D57FEF" w:rsidP="00AB1A2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 comments</w:t>
            </w:r>
          </w:p>
        </w:tc>
        <w:tc>
          <w:tcPr>
            <w:tcW w:w="396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6650BA" w14:textId="3B700C05" w:rsidR="00D57FEF" w:rsidRDefault="00D57FEF" w:rsidP="00AB1A2C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Minutes Approved</w:t>
            </w:r>
          </w:p>
        </w:tc>
      </w:tr>
      <w:tr w:rsidR="00AB1A2C" w:rsidRPr="00506C33" w14:paraId="65030CA9" w14:textId="77777777" w:rsidTr="00AD66F5">
        <w:trPr>
          <w:trHeight w:val="432"/>
        </w:trPr>
        <w:tc>
          <w:tcPr>
            <w:tcW w:w="343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613153D" w14:textId="77777777" w:rsidR="00AB1A2C" w:rsidRPr="00836972" w:rsidRDefault="001838C3" w:rsidP="00D57FEF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Letter to chairs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0477899" w14:textId="01B71A85" w:rsidR="00AB1A2C" w:rsidRPr="00D3290B" w:rsidRDefault="00D57FEF" w:rsidP="00D3290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</w:rPr>
            </w:pPr>
            <w:r w:rsidRPr="00D3290B">
              <w:rPr>
                <w:rFonts w:ascii="Calibri" w:hAnsi="Calibri"/>
                <w:sz w:val="22"/>
              </w:rPr>
              <w:t>C</w:t>
            </w:r>
            <w:r w:rsidR="001838C3" w:rsidRPr="00D3290B">
              <w:rPr>
                <w:rFonts w:ascii="Calibri" w:hAnsi="Calibri"/>
                <w:sz w:val="22"/>
              </w:rPr>
              <w:t>hange</w:t>
            </w:r>
            <w:r w:rsidRPr="00D3290B">
              <w:rPr>
                <w:rFonts w:ascii="Calibri" w:hAnsi="Calibri"/>
                <w:sz w:val="22"/>
              </w:rPr>
              <w:t>d</w:t>
            </w:r>
            <w:r w:rsidR="001838C3" w:rsidRPr="00D3290B">
              <w:rPr>
                <w:rFonts w:ascii="Calibri" w:hAnsi="Calibri"/>
                <w:sz w:val="22"/>
              </w:rPr>
              <w:t xml:space="preserve"> Spring 2012 to </w:t>
            </w:r>
            <w:r w:rsidRPr="00D3290B">
              <w:rPr>
                <w:rFonts w:ascii="Calibri" w:hAnsi="Calibri"/>
                <w:sz w:val="22"/>
              </w:rPr>
              <w:t xml:space="preserve">Spring </w:t>
            </w:r>
            <w:r w:rsidR="001838C3" w:rsidRPr="00D3290B">
              <w:rPr>
                <w:rFonts w:ascii="Calibri" w:hAnsi="Calibri"/>
                <w:sz w:val="22"/>
              </w:rPr>
              <w:t>2013 (3 places)</w:t>
            </w:r>
          </w:p>
          <w:p w14:paraId="2159C4B7" w14:textId="26FC42F3" w:rsidR="00D57FEF" w:rsidRPr="00D3290B" w:rsidRDefault="00D57FEF" w:rsidP="00D3290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</w:rPr>
            </w:pPr>
            <w:r w:rsidRPr="00D3290B">
              <w:rPr>
                <w:rFonts w:ascii="Calibri" w:hAnsi="Calibri"/>
                <w:sz w:val="22"/>
              </w:rPr>
              <w:t>It was decided that the response date will be set to Feb 1, 2013</w:t>
            </w:r>
          </w:p>
          <w:p w14:paraId="0BDC5CF3" w14:textId="07E816F2" w:rsidR="00D57FEF" w:rsidRPr="00D3290B" w:rsidRDefault="00D57FEF" w:rsidP="00D3290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</w:rPr>
            </w:pPr>
            <w:r w:rsidRPr="00D3290B">
              <w:rPr>
                <w:rFonts w:ascii="Calibri" w:hAnsi="Calibri"/>
                <w:sz w:val="22"/>
              </w:rPr>
              <w:t>Merle commented ab</w:t>
            </w:r>
            <w:r w:rsidR="00BF7D29">
              <w:rPr>
                <w:rFonts w:ascii="Calibri" w:hAnsi="Calibri"/>
                <w:sz w:val="22"/>
              </w:rPr>
              <w:t xml:space="preserve">out # 6 on the letter, and the wording was </w:t>
            </w:r>
            <w:r w:rsidRPr="00D3290B">
              <w:rPr>
                <w:rFonts w:ascii="Calibri" w:hAnsi="Calibri"/>
                <w:sz w:val="22"/>
              </w:rPr>
              <w:t>adjusted from the “</w:t>
            </w:r>
            <w:r w:rsidRPr="00D3290B">
              <w:rPr>
                <w:rFonts w:ascii="Calibri" w:hAnsi="Calibri"/>
                <w:i/>
                <w:sz w:val="22"/>
              </w:rPr>
              <w:t>Report of the Provost’s Advisory Task Force on Assessment of Student Learning Outcomes</w:t>
            </w:r>
            <w:r w:rsidRPr="00D3290B">
              <w:rPr>
                <w:rFonts w:ascii="Calibri" w:hAnsi="Calibri"/>
                <w:sz w:val="22"/>
              </w:rPr>
              <w:t>” from 2008. It was decided to drop the word “embarrass students”.</w:t>
            </w:r>
          </w:p>
          <w:p w14:paraId="65228CA4" w14:textId="48089F47" w:rsidR="00D57FEF" w:rsidRPr="00D3290B" w:rsidRDefault="00D57FEF" w:rsidP="00D3290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</w:rPr>
            </w:pPr>
            <w:r w:rsidRPr="00D3290B">
              <w:rPr>
                <w:rFonts w:ascii="Calibri" w:hAnsi="Calibri"/>
                <w:sz w:val="22"/>
              </w:rPr>
              <w:t>Carol clarified the purpose /meaning</w:t>
            </w:r>
            <w:r w:rsidR="00FA1F80">
              <w:rPr>
                <w:rFonts w:ascii="Calibri" w:hAnsi="Calibri"/>
                <w:sz w:val="22"/>
              </w:rPr>
              <w:t xml:space="preserve"> of what fa</w:t>
            </w:r>
            <w:r w:rsidR="00BF7D29">
              <w:rPr>
                <w:rFonts w:ascii="Calibri" w:hAnsi="Calibri"/>
                <w:sz w:val="22"/>
              </w:rPr>
              <w:t>culty senate meant when they ask</w:t>
            </w:r>
            <w:r w:rsidRPr="00D3290B">
              <w:rPr>
                <w:rFonts w:ascii="Calibri" w:hAnsi="Calibri"/>
                <w:sz w:val="22"/>
              </w:rPr>
              <w:t xml:space="preserve"> not </w:t>
            </w:r>
            <w:r w:rsidR="00FA1F80">
              <w:rPr>
                <w:rFonts w:ascii="Calibri" w:hAnsi="Calibri"/>
                <w:sz w:val="22"/>
              </w:rPr>
              <w:t xml:space="preserve">to </w:t>
            </w:r>
            <w:r w:rsidRPr="00D3290B">
              <w:rPr>
                <w:rFonts w:ascii="Calibri" w:hAnsi="Calibri"/>
                <w:sz w:val="22"/>
              </w:rPr>
              <w:t>share th</w:t>
            </w:r>
            <w:r w:rsidR="00FA1F80">
              <w:rPr>
                <w:rFonts w:ascii="Calibri" w:hAnsi="Calibri"/>
                <w:sz w:val="22"/>
              </w:rPr>
              <w:t>e GE assessment date publically. F</w:t>
            </w:r>
            <w:r w:rsidRPr="00D3290B">
              <w:rPr>
                <w:rFonts w:ascii="Calibri" w:hAnsi="Calibri"/>
                <w:sz w:val="22"/>
              </w:rPr>
              <w:t xml:space="preserve">or instance </w:t>
            </w:r>
            <w:r w:rsidR="00BF7D29">
              <w:rPr>
                <w:rFonts w:ascii="Calibri" w:hAnsi="Calibri"/>
                <w:sz w:val="22"/>
              </w:rPr>
              <w:t>on</w:t>
            </w:r>
            <w:r w:rsidR="0002774D">
              <w:rPr>
                <w:rFonts w:ascii="Calibri" w:hAnsi="Calibri"/>
                <w:sz w:val="22"/>
              </w:rPr>
              <w:t>e</w:t>
            </w:r>
            <w:r w:rsidR="00BF7D29">
              <w:rPr>
                <w:rFonts w:ascii="Calibri" w:hAnsi="Calibri"/>
                <w:sz w:val="22"/>
              </w:rPr>
              <w:t xml:space="preserve"> of the reasons is that </w:t>
            </w:r>
            <w:r w:rsidRPr="00D3290B">
              <w:rPr>
                <w:rFonts w:ascii="Calibri" w:hAnsi="Calibri"/>
                <w:sz w:val="22"/>
              </w:rPr>
              <w:t xml:space="preserve">allowing it could open doors to the assessment to be used to assess teaching </w:t>
            </w:r>
            <w:r w:rsidR="00BF7D29">
              <w:rPr>
                <w:rFonts w:ascii="Calibri" w:hAnsi="Calibri"/>
                <w:sz w:val="22"/>
              </w:rPr>
              <w:t>effectiveness of a faculty for</w:t>
            </w:r>
            <w:r w:rsidRPr="00D3290B">
              <w:rPr>
                <w:rFonts w:ascii="Calibri" w:hAnsi="Calibri"/>
                <w:sz w:val="22"/>
              </w:rPr>
              <w:t xml:space="preserve"> their promotion portfolio.</w:t>
            </w:r>
          </w:p>
        </w:tc>
        <w:tc>
          <w:tcPr>
            <w:tcW w:w="396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97A545A" w14:textId="38FC51C4" w:rsidR="00AB1A2C" w:rsidRPr="00D3290B" w:rsidRDefault="00F5279F" w:rsidP="00D3290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</w:rPr>
            </w:pPr>
            <w:r w:rsidRPr="00D3290B">
              <w:rPr>
                <w:rFonts w:ascii="Calibri" w:hAnsi="Calibri"/>
                <w:sz w:val="22"/>
              </w:rPr>
              <w:t xml:space="preserve">Brooke will </w:t>
            </w:r>
            <w:r w:rsidR="00D7263B" w:rsidRPr="00D3290B">
              <w:rPr>
                <w:rFonts w:ascii="Calibri" w:hAnsi="Calibri"/>
                <w:sz w:val="22"/>
              </w:rPr>
              <w:t xml:space="preserve">make the changes and </w:t>
            </w:r>
            <w:r w:rsidR="00D57FEF" w:rsidRPr="00D3290B">
              <w:rPr>
                <w:rFonts w:ascii="Calibri" w:hAnsi="Calibri"/>
                <w:sz w:val="22"/>
              </w:rPr>
              <w:t>send it to Kathy</w:t>
            </w:r>
            <w:r w:rsidRPr="00D3290B">
              <w:rPr>
                <w:rFonts w:ascii="Calibri" w:hAnsi="Calibri"/>
                <w:sz w:val="22"/>
              </w:rPr>
              <w:t xml:space="preserve"> </w:t>
            </w:r>
            <w:r w:rsidR="00D57FEF" w:rsidRPr="00D3290B">
              <w:rPr>
                <w:rFonts w:ascii="Calibri" w:hAnsi="Calibri"/>
                <w:sz w:val="22"/>
              </w:rPr>
              <w:t xml:space="preserve">today, who </w:t>
            </w:r>
            <w:r w:rsidRPr="00D3290B">
              <w:rPr>
                <w:rFonts w:ascii="Calibri" w:hAnsi="Calibri"/>
                <w:sz w:val="22"/>
              </w:rPr>
              <w:t xml:space="preserve">will </w:t>
            </w:r>
            <w:r w:rsidR="00D57FEF" w:rsidRPr="00D3290B">
              <w:rPr>
                <w:rFonts w:ascii="Calibri" w:hAnsi="Calibri"/>
                <w:sz w:val="22"/>
              </w:rPr>
              <w:t xml:space="preserve">then </w:t>
            </w:r>
            <w:r w:rsidRPr="00D3290B">
              <w:rPr>
                <w:rFonts w:ascii="Calibri" w:hAnsi="Calibri"/>
                <w:sz w:val="22"/>
              </w:rPr>
              <w:t xml:space="preserve">send </w:t>
            </w:r>
            <w:r w:rsidR="00D57FEF" w:rsidRPr="00D3290B">
              <w:rPr>
                <w:rFonts w:ascii="Calibri" w:hAnsi="Calibri"/>
                <w:sz w:val="22"/>
              </w:rPr>
              <w:t>the letter</w:t>
            </w:r>
            <w:r w:rsidRPr="00D3290B">
              <w:rPr>
                <w:rFonts w:ascii="Calibri" w:hAnsi="Calibri"/>
                <w:sz w:val="22"/>
              </w:rPr>
              <w:t xml:space="preserve"> out to the chairs</w:t>
            </w:r>
            <w:r w:rsidR="00D57FEF" w:rsidRPr="00D3290B">
              <w:rPr>
                <w:rFonts w:ascii="Calibri" w:hAnsi="Calibri"/>
                <w:sz w:val="22"/>
              </w:rPr>
              <w:t>,</w:t>
            </w:r>
            <w:r w:rsidRPr="00D3290B">
              <w:rPr>
                <w:rFonts w:ascii="Calibri" w:hAnsi="Calibri"/>
                <w:sz w:val="22"/>
              </w:rPr>
              <w:t xml:space="preserve"> tomorrow.</w:t>
            </w:r>
          </w:p>
        </w:tc>
      </w:tr>
      <w:tr w:rsidR="00AB1A2C" w:rsidRPr="00506C33" w14:paraId="3510D708" w14:textId="77777777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10994EC" w14:textId="77777777" w:rsidR="00AB1A2C" w:rsidRPr="00836972" w:rsidRDefault="00AB1A2C" w:rsidP="00AB1A2C">
            <w:pPr>
              <w:tabs>
                <w:tab w:val="left" w:pos="360"/>
              </w:tabs>
              <w:ind w:left="1080"/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D88A966" w14:textId="0FD09742" w:rsidR="00AB1A2C" w:rsidRPr="00836972" w:rsidRDefault="001838C3" w:rsidP="00AB1A2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ED7BA3E" w14:textId="77777777" w:rsidR="00AB1A2C" w:rsidRPr="00836972" w:rsidRDefault="00AB1A2C" w:rsidP="00AB1A2C">
            <w:pPr>
              <w:contextualSpacing/>
              <w:rPr>
                <w:rFonts w:ascii="Calibri" w:hAnsi="Calibri"/>
                <w:sz w:val="22"/>
              </w:rPr>
            </w:pPr>
          </w:p>
        </w:tc>
      </w:tr>
      <w:tr w:rsidR="009B42B0" w:rsidRPr="00506C33" w14:paraId="2BB3B8B6" w14:textId="77777777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2162725" w14:textId="66447D0C" w:rsidR="009B42B0" w:rsidRPr="00AB1A2C" w:rsidRDefault="00EC233A" w:rsidP="001A57A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Documents to be sent to the faculty to be assessed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54655B8" w14:textId="630A157F" w:rsidR="00D57FEF" w:rsidRPr="002D6CC5" w:rsidRDefault="00D57FEF" w:rsidP="002D6CC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D6CC5">
              <w:rPr>
                <w:rFonts w:ascii="Calibri" w:hAnsi="Calibri"/>
                <w:sz w:val="22"/>
                <w:szCs w:val="22"/>
              </w:rPr>
              <w:t>Goal: Send notification email to the faculty sometime next week</w:t>
            </w:r>
          </w:p>
          <w:p w14:paraId="42D99D93" w14:textId="28CA002D" w:rsidR="00D57FEF" w:rsidRPr="002D6CC5" w:rsidRDefault="007875D2" w:rsidP="002D6CC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D6CC5">
              <w:rPr>
                <w:rFonts w:ascii="Calibri" w:hAnsi="Calibri"/>
                <w:sz w:val="22"/>
                <w:szCs w:val="22"/>
              </w:rPr>
              <w:t>Dates</w:t>
            </w:r>
            <w:r w:rsidR="00D57FEF" w:rsidRPr="002D6CC5">
              <w:rPr>
                <w:rFonts w:ascii="Calibri" w:hAnsi="Calibri"/>
                <w:sz w:val="22"/>
                <w:szCs w:val="22"/>
              </w:rPr>
              <w:t xml:space="preserve"> were decided </w:t>
            </w:r>
            <w:r w:rsidR="006C1A11">
              <w:rPr>
                <w:rFonts w:ascii="Calibri" w:hAnsi="Calibri"/>
                <w:sz w:val="22"/>
                <w:szCs w:val="22"/>
              </w:rPr>
              <w:t>on</w:t>
            </w:r>
            <w:r w:rsidR="00D57FEF" w:rsidRPr="002D6CC5">
              <w:rPr>
                <w:rFonts w:ascii="Calibri" w:hAnsi="Calibri"/>
                <w:sz w:val="22"/>
                <w:szCs w:val="22"/>
              </w:rPr>
              <w:t xml:space="preserve"> different parts of the assessment letter</w:t>
            </w:r>
          </w:p>
          <w:p w14:paraId="1887AAE8" w14:textId="0C10FF89" w:rsidR="00D57FEF" w:rsidRPr="002D6CC5" w:rsidRDefault="007875D2" w:rsidP="002D6CC5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2D6CC5">
              <w:rPr>
                <w:rFonts w:ascii="Calibri" w:hAnsi="Calibri"/>
                <w:sz w:val="22"/>
                <w:szCs w:val="22"/>
              </w:rPr>
              <w:t>Part 1</w:t>
            </w:r>
            <w:r w:rsidR="00D57FEF" w:rsidRPr="002D6CC5">
              <w:rPr>
                <w:rFonts w:ascii="Calibri" w:hAnsi="Calibri"/>
                <w:sz w:val="22"/>
                <w:szCs w:val="22"/>
              </w:rPr>
              <w:t>:</w:t>
            </w:r>
            <w:r w:rsidRPr="002D6CC5">
              <w:rPr>
                <w:rFonts w:ascii="Calibri" w:hAnsi="Calibri"/>
                <w:sz w:val="22"/>
                <w:szCs w:val="22"/>
              </w:rPr>
              <w:t xml:space="preserve"> Jan 25</w:t>
            </w:r>
            <w:r w:rsidRPr="002D6CC5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D57FEF" w:rsidRPr="002D6CC5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3811F3" w:rsidRPr="002D6CC5">
              <w:rPr>
                <w:rFonts w:ascii="Calibri" w:hAnsi="Calibri"/>
                <w:sz w:val="22"/>
                <w:szCs w:val="22"/>
              </w:rPr>
              <w:t xml:space="preserve">2 days after classes start); </w:t>
            </w:r>
          </w:p>
          <w:p w14:paraId="482418A2" w14:textId="3A7086BE" w:rsidR="00D57FEF" w:rsidRPr="002D6CC5" w:rsidRDefault="003811F3" w:rsidP="002D6CC5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2D6CC5">
              <w:rPr>
                <w:rFonts w:ascii="Calibri" w:hAnsi="Calibri"/>
                <w:sz w:val="22"/>
                <w:szCs w:val="22"/>
              </w:rPr>
              <w:t>Part 2</w:t>
            </w:r>
            <w:r w:rsidR="00D57FEF" w:rsidRPr="002D6CC5">
              <w:rPr>
                <w:rFonts w:ascii="Calibri" w:hAnsi="Calibri"/>
                <w:sz w:val="22"/>
                <w:szCs w:val="22"/>
              </w:rPr>
              <w:t>:</w:t>
            </w:r>
            <w:r w:rsidRPr="002D6CC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530" w:rsidRPr="002D6CC5">
              <w:rPr>
                <w:rFonts w:ascii="Calibri" w:hAnsi="Calibri"/>
                <w:sz w:val="22"/>
                <w:szCs w:val="22"/>
              </w:rPr>
              <w:t xml:space="preserve"> March 1</w:t>
            </w:r>
            <w:r w:rsidR="00C86530" w:rsidRPr="002D6CC5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="00D57FEF" w:rsidRPr="002D6CC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CB1CE4C" w14:textId="77777777" w:rsidR="00AB1A2C" w:rsidRPr="002D6CC5" w:rsidRDefault="00C86530" w:rsidP="002D6CC5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2D6CC5">
              <w:rPr>
                <w:rFonts w:ascii="Calibri" w:hAnsi="Calibri"/>
                <w:sz w:val="22"/>
                <w:szCs w:val="22"/>
              </w:rPr>
              <w:t>Part 3: 24</w:t>
            </w:r>
            <w:r w:rsidRPr="002D6CC5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2D6CC5">
              <w:rPr>
                <w:rFonts w:ascii="Calibri" w:hAnsi="Calibri"/>
                <w:sz w:val="22"/>
                <w:szCs w:val="22"/>
              </w:rPr>
              <w:t xml:space="preserve"> May</w:t>
            </w:r>
            <w:r w:rsidR="00D57FEF" w:rsidRPr="002D6CC5">
              <w:rPr>
                <w:rFonts w:ascii="Calibri" w:hAnsi="Calibri"/>
                <w:sz w:val="22"/>
                <w:szCs w:val="22"/>
              </w:rPr>
              <w:t xml:space="preserve"> (a week after Spring convocation)</w:t>
            </w:r>
            <w:r w:rsidR="005F3EA3" w:rsidRPr="002D6CC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285A227" w14:textId="02E8796B" w:rsidR="00D57FEF" w:rsidRPr="002D6CC5" w:rsidRDefault="00D57FEF" w:rsidP="002D6CC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D6CC5">
              <w:rPr>
                <w:rFonts w:ascii="Calibri" w:hAnsi="Calibri"/>
                <w:sz w:val="22"/>
                <w:szCs w:val="22"/>
              </w:rPr>
              <w:t>It was decided that</w:t>
            </w:r>
            <w:r w:rsidRPr="002D6CC5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2D6C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 sticker saying </w:t>
            </w:r>
            <w:proofErr w:type="gramStart"/>
            <w:r w:rsidRPr="002D6CC5">
              <w:rPr>
                <w:rFonts w:ascii="Calibri" w:hAnsi="Calibri"/>
                <w:color w:val="000000" w:themeColor="text1"/>
                <w:sz w:val="22"/>
                <w:szCs w:val="22"/>
              </w:rPr>
              <w:t>“ you</w:t>
            </w:r>
            <w:proofErr w:type="gramEnd"/>
            <w:r w:rsidRPr="002D6C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are already a winner” will be put in the notification letter.</w:t>
            </w:r>
          </w:p>
          <w:p w14:paraId="06E89D19" w14:textId="2B42B89C" w:rsidR="00A06E12" w:rsidRPr="002D6CC5" w:rsidRDefault="00361FF9" w:rsidP="00BF7D29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D6C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Merle said he</w:t>
            </w:r>
            <w:r w:rsidR="00A06E12" w:rsidRPr="002D6C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BF7D2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had </w:t>
            </w:r>
            <w:r w:rsidRPr="002D6C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some </w:t>
            </w:r>
            <w:r w:rsidR="00BF7D2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technical difficulties finding </w:t>
            </w:r>
            <w:r w:rsidRPr="002D6C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some information online which he needs in order to get a random sample of GE courses to be assessed in </w:t>
            </w:r>
            <w:proofErr w:type="gramStart"/>
            <w:r w:rsidRPr="002D6CC5">
              <w:rPr>
                <w:rFonts w:ascii="Calibri" w:hAnsi="Calibri"/>
                <w:color w:val="000000" w:themeColor="text1"/>
                <w:sz w:val="22"/>
                <w:szCs w:val="22"/>
              </w:rPr>
              <w:t>Spring</w:t>
            </w:r>
            <w:proofErr w:type="gramEnd"/>
            <w:r w:rsidRPr="002D6C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2013.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36D9820" w14:textId="77777777" w:rsidR="00D57FEF" w:rsidRDefault="00DC26F4" w:rsidP="00D3290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Merle will get the list of faculty members to be assessed.</w:t>
            </w:r>
            <w:r w:rsidR="000778C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7A2A8A4" w14:textId="77777777" w:rsidR="00361FF9" w:rsidRDefault="00361FF9" w:rsidP="00D57FE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BAA65DA" w14:textId="596B5968" w:rsidR="00361FF9" w:rsidRDefault="000778C9" w:rsidP="00D3290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</w:t>
            </w:r>
            <w:r w:rsidR="002763CD">
              <w:rPr>
                <w:rFonts w:ascii="Calibri" w:hAnsi="Calibri"/>
                <w:sz w:val="22"/>
                <w:szCs w:val="22"/>
              </w:rPr>
              <w:t>oke will send notifications to K</w:t>
            </w:r>
            <w:r>
              <w:rPr>
                <w:rFonts w:ascii="Calibri" w:hAnsi="Calibri"/>
                <w:sz w:val="22"/>
                <w:szCs w:val="22"/>
              </w:rPr>
              <w:t xml:space="preserve">athy </w:t>
            </w:r>
            <w:r w:rsidR="002763CD">
              <w:rPr>
                <w:rFonts w:ascii="Calibri" w:hAnsi="Calibri"/>
                <w:sz w:val="22"/>
                <w:szCs w:val="22"/>
              </w:rPr>
              <w:t>Gu</w:t>
            </w:r>
            <w:r w:rsidR="0002774D">
              <w:rPr>
                <w:rFonts w:ascii="Calibri" w:hAnsi="Calibri"/>
                <w:sz w:val="22"/>
                <w:szCs w:val="22"/>
              </w:rPr>
              <w:t>staf</w:t>
            </w:r>
            <w:r w:rsidR="002763CD">
              <w:rPr>
                <w:rFonts w:ascii="Calibri" w:hAnsi="Calibri"/>
                <w:sz w:val="22"/>
                <w:szCs w:val="22"/>
              </w:rPr>
              <w:t xml:space="preserve">son </w:t>
            </w:r>
            <w:r w:rsidR="00D57FEF">
              <w:rPr>
                <w:rFonts w:ascii="Calibri" w:hAnsi="Calibri"/>
                <w:sz w:val="22"/>
                <w:szCs w:val="22"/>
              </w:rPr>
              <w:t>who</w:t>
            </w:r>
            <w:r>
              <w:rPr>
                <w:rFonts w:ascii="Calibri" w:hAnsi="Calibri"/>
                <w:sz w:val="22"/>
                <w:szCs w:val="22"/>
              </w:rPr>
              <w:t xml:space="preserve"> will </w:t>
            </w:r>
            <w:r w:rsidR="00D57FEF">
              <w:rPr>
                <w:rFonts w:ascii="Calibri" w:hAnsi="Calibri"/>
                <w:sz w:val="22"/>
                <w:szCs w:val="22"/>
              </w:rPr>
              <w:t xml:space="preserve">then </w:t>
            </w:r>
            <w:r>
              <w:rPr>
                <w:rFonts w:ascii="Calibri" w:hAnsi="Calibri"/>
                <w:sz w:val="22"/>
                <w:szCs w:val="22"/>
              </w:rPr>
              <w:t>send it out to the faculty.</w:t>
            </w:r>
          </w:p>
          <w:p w14:paraId="6DE63B0C" w14:textId="77777777" w:rsidR="00361FF9" w:rsidRDefault="00361FF9" w:rsidP="00D57FE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4DF75B7" w14:textId="34742B02" w:rsidR="00A50023" w:rsidRPr="00AB1A2C" w:rsidRDefault="00361FF9" w:rsidP="00D3290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Carol will help Merle with the technical problem.</w:t>
            </w:r>
            <w:r w:rsidR="000778C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51DF3" w:rsidRPr="00506C33" w14:paraId="5A07F9B0" w14:textId="77777777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8C1DFAE" w14:textId="317EF448" w:rsidR="00740FE9" w:rsidRPr="00AB1A2C" w:rsidRDefault="00740FE9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0AEED94" w14:textId="09E6C5FE" w:rsidR="00CB3EBE" w:rsidRPr="00AB1A2C" w:rsidRDefault="00CB3EBE" w:rsidP="00AB1A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1DD18AA" w14:textId="77777777" w:rsidR="001D3114" w:rsidRPr="00AB1A2C" w:rsidRDefault="001D3114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64199" w:rsidRPr="00506C33" w14:paraId="382623C8" w14:textId="77777777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F656ACB" w14:textId="6C7E17AA" w:rsidR="00E64199" w:rsidRPr="00AB1A2C" w:rsidRDefault="000778C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Rubrics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0BEB5AE" w14:textId="79B1EFC1" w:rsidR="00A50023" w:rsidRPr="00D3290B" w:rsidRDefault="00D57FEF" w:rsidP="00D3290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D3290B">
              <w:rPr>
                <w:rFonts w:ascii="Calibri" w:hAnsi="Calibri"/>
                <w:sz w:val="22"/>
                <w:szCs w:val="22"/>
              </w:rPr>
              <w:t>It was decided that the rubrics will s</w:t>
            </w:r>
            <w:r w:rsidR="000778C9" w:rsidRPr="00D3290B">
              <w:rPr>
                <w:rFonts w:ascii="Calibri" w:hAnsi="Calibri"/>
                <w:sz w:val="22"/>
                <w:szCs w:val="22"/>
              </w:rPr>
              <w:t>tays the same as before</w:t>
            </w:r>
            <w:r w:rsidRPr="00D3290B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F4C9612" w14:textId="69F1414C" w:rsidR="00E64199" w:rsidRPr="00AB1A2C" w:rsidRDefault="00D57FEF" w:rsidP="00D3290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0778C9">
              <w:rPr>
                <w:rFonts w:ascii="Calibri" w:hAnsi="Calibri"/>
                <w:sz w:val="22"/>
                <w:szCs w:val="22"/>
              </w:rPr>
              <w:t>athy could help with that.</w:t>
            </w:r>
          </w:p>
        </w:tc>
      </w:tr>
      <w:tr w:rsidR="00D3290B" w:rsidRPr="00506C33" w14:paraId="5F0FAEBB" w14:textId="77777777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670D57A" w14:textId="77777777" w:rsidR="00D3290B" w:rsidRDefault="00D3290B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1BA9AB1" w14:textId="77777777" w:rsidR="00D3290B" w:rsidRPr="00D3290B" w:rsidRDefault="00D3290B" w:rsidP="00D3290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3ECD24F5" w14:textId="77777777" w:rsidR="00D3290B" w:rsidRDefault="00D3290B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A3F8F" w:rsidRPr="00506C33" w14:paraId="52F22ACC" w14:textId="77777777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8900EF6" w14:textId="55977F48" w:rsidR="008A3F8F" w:rsidRDefault="008A3F8F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SUNY GE transfer equivalency Issue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99AD286" w14:textId="247B5C69" w:rsidR="008A3F8F" w:rsidRPr="00D3290B" w:rsidRDefault="00BF7D29" w:rsidP="00BF7D29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Carol brought up an issue which </w:t>
            </w:r>
            <w:r w:rsidR="008A3F8F" w:rsidRPr="00D3290B">
              <w:rPr>
                <w:rFonts w:ascii="Calibri" w:hAnsi="Calibri"/>
                <w:sz w:val="22"/>
                <w:szCs w:val="22"/>
              </w:rPr>
              <w:t xml:space="preserve">associate deans are facing </w:t>
            </w:r>
            <w:r>
              <w:rPr>
                <w:rFonts w:ascii="Calibri" w:hAnsi="Calibri"/>
                <w:sz w:val="22"/>
                <w:szCs w:val="22"/>
              </w:rPr>
              <w:t>which is how to decide</w:t>
            </w:r>
            <w:r w:rsidR="008A3F8F" w:rsidRPr="00D3290B">
              <w:rPr>
                <w:rFonts w:ascii="Calibri" w:hAnsi="Calibri"/>
                <w:sz w:val="22"/>
                <w:szCs w:val="22"/>
              </w:rPr>
              <w:t xml:space="preserve"> whether a transfer course from non-SUNY Colleges could be counted towards the SUNY GEs, for instance a Marine Biology course. There </w:t>
            </w:r>
            <w:r w:rsidR="00D3290B" w:rsidRPr="00D3290B">
              <w:rPr>
                <w:rFonts w:ascii="Calibri" w:hAnsi="Calibri"/>
                <w:sz w:val="22"/>
                <w:szCs w:val="22"/>
              </w:rPr>
              <w:t>are no protocols</w:t>
            </w:r>
            <w:r w:rsidR="008A3F8F" w:rsidRPr="00D3290B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D3290B">
              <w:rPr>
                <w:rFonts w:ascii="Calibri" w:hAnsi="Calibri"/>
                <w:sz w:val="22"/>
                <w:szCs w:val="22"/>
              </w:rPr>
              <w:t xml:space="preserve">help </w:t>
            </w:r>
            <w:r w:rsidR="008A3F8F" w:rsidRPr="00D3290B">
              <w:rPr>
                <w:rFonts w:ascii="Calibri" w:hAnsi="Calibri"/>
                <w:sz w:val="22"/>
                <w:szCs w:val="22"/>
              </w:rPr>
              <w:t xml:space="preserve">decide on these issues.  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438B52BE" w14:textId="04D00690" w:rsidR="008A3F8F" w:rsidRDefault="008A3F8F" w:rsidP="00D3290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Carol will draft a protocol. </w:t>
            </w:r>
          </w:p>
        </w:tc>
      </w:tr>
      <w:tr w:rsidR="00361FF9" w:rsidRPr="00506C33" w14:paraId="691F64FB" w14:textId="77777777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4DD034A5" w14:textId="05FCFD8B" w:rsidR="00361FF9" w:rsidRDefault="00361FF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Collection of Assessment Forms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4780765B" w14:textId="1114F5AD" w:rsidR="00361FF9" w:rsidRPr="00D3290B" w:rsidRDefault="00361FF9" w:rsidP="00D3290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D3290B">
              <w:rPr>
                <w:rFonts w:ascii="Calibri" w:hAnsi="Calibri"/>
                <w:sz w:val="22"/>
                <w:szCs w:val="22"/>
              </w:rPr>
              <w:t>It was decided that Pam Schroder should continu</w:t>
            </w:r>
            <w:r w:rsidR="0002774D">
              <w:rPr>
                <w:rFonts w:ascii="Calibri" w:hAnsi="Calibri"/>
                <w:sz w:val="22"/>
                <w:szCs w:val="22"/>
              </w:rPr>
              <w:t xml:space="preserve">e collecting the forms from all </w:t>
            </w:r>
            <w:r w:rsidRPr="00D3290B">
              <w:rPr>
                <w:rFonts w:ascii="Calibri" w:hAnsi="Calibri"/>
                <w:sz w:val="22"/>
                <w:szCs w:val="22"/>
              </w:rPr>
              <w:t>the faculty member</w:t>
            </w:r>
            <w:r w:rsidR="0002774D">
              <w:rPr>
                <w:rFonts w:ascii="Calibri" w:hAnsi="Calibri"/>
                <w:sz w:val="22"/>
                <w:szCs w:val="22"/>
              </w:rPr>
              <w:t>s</w:t>
            </w:r>
            <w:r w:rsidRPr="00D3290B">
              <w:rPr>
                <w:rFonts w:ascii="Calibri" w:hAnsi="Calibri"/>
                <w:sz w:val="22"/>
                <w:szCs w:val="22"/>
              </w:rPr>
              <w:t>, as she did last year.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264967CA" w14:textId="77777777" w:rsidR="00361FF9" w:rsidRDefault="00361FF9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3290B" w:rsidRPr="00506C33" w14:paraId="5F6BFD0F" w14:textId="77777777" w:rsidTr="002D6CC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EF70F7A" w14:textId="77777777" w:rsidR="00D3290B" w:rsidRDefault="00D3290B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7198B92" w14:textId="77777777" w:rsidR="00D3290B" w:rsidRDefault="00D3290B" w:rsidP="00D3290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A0C281F" w14:textId="77777777" w:rsidR="00D3290B" w:rsidRDefault="00D3290B" w:rsidP="00361FF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64199" w:rsidRPr="00506C33" w14:paraId="27C5A163" w14:textId="77777777" w:rsidTr="002D6CC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A377138" w14:textId="0E81B6ED" w:rsidR="00E64199" w:rsidRPr="00AB1A2C" w:rsidRDefault="00A239A5" w:rsidP="001A57A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Committees for each GE categories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0A9A59D" w14:textId="16F0CCE5" w:rsidR="00361FF9" w:rsidRPr="00D3290B" w:rsidRDefault="00361FF9" w:rsidP="00D3290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 was decided</w:t>
            </w:r>
            <w:r w:rsidR="00D57FEF">
              <w:rPr>
                <w:rFonts w:ascii="Calibri" w:hAnsi="Calibri"/>
                <w:sz w:val="22"/>
                <w:szCs w:val="22"/>
              </w:rPr>
              <w:t xml:space="preserve"> that</w:t>
            </w:r>
            <w:r>
              <w:rPr>
                <w:rFonts w:ascii="Calibri" w:hAnsi="Calibri"/>
                <w:sz w:val="22"/>
                <w:szCs w:val="22"/>
              </w:rPr>
              <w:t xml:space="preserve"> Mary Kennedy, Chair of the writing Committee</w:t>
            </w:r>
            <w:r w:rsidR="00BF7D29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should be notifie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 xml:space="preserve">d regarding the upcoming assessment of GE 10 (a). </w:t>
            </w:r>
          </w:p>
          <w:p w14:paraId="2BFF48B6" w14:textId="451D095D" w:rsidR="00E64199" w:rsidRPr="00AB1A2C" w:rsidRDefault="00361FF9" w:rsidP="00D3290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committees </w:t>
            </w:r>
            <w:r w:rsidR="00BF7D29">
              <w:rPr>
                <w:rFonts w:ascii="Calibri" w:hAnsi="Calibri"/>
                <w:sz w:val="22"/>
                <w:szCs w:val="22"/>
              </w:rPr>
              <w:t xml:space="preserve">for each GE category </w:t>
            </w:r>
            <w:r>
              <w:rPr>
                <w:rFonts w:ascii="Calibri" w:hAnsi="Calibri"/>
                <w:sz w:val="22"/>
                <w:szCs w:val="22"/>
              </w:rPr>
              <w:t xml:space="preserve">will be decided in </w:t>
            </w:r>
            <w:r w:rsidR="001A57A8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>next meeting.</w:t>
            </w:r>
            <w:r w:rsidR="00D57FE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954003" w14:textId="2EF12EE8" w:rsidR="00E64199" w:rsidRPr="00AB1A2C" w:rsidRDefault="00BF7D29" w:rsidP="00D3290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Merle will contact Mary Kenne</w:t>
            </w:r>
            <w:r w:rsidR="002763CD">
              <w:rPr>
                <w:rFonts w:ascii="Calibri" w:hAnsi="Calibri"/>
                <w:sz w:val="22"/>
                <w:szCs w:val="22"/>
              </w:rPr>
              <w:t xml:space="preserve">dy, </w:t>
            </w:r>
            <w:r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2763CD">
              <w:rPr>
                <w:rFonts w:ascii="Calibri" w:hAnsi="Calibri"/>
                <w:sz w:val="22"/>
                <w:szCs w:val="22"/>
              </w:rPr>
              <w:t>inform her about the upcoming assessment.</w:t>
            </w:r>
          </w:p>
        </w:tc>
      </w:tr>
      <w:tr w:rsidR="002D6CC5" w:rsidRPr="00506C33" w14:paraId="2D9F3A94" w14:textId="77777777" w:rsidTr="002D6CC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F090ACA" w14:textId="77777777" w:rsidR="002D6CC5" w:rsidRDefault="002D6CC5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8EFB59B" w14:textId="77777777" w:rsidR="002D6CC5" w:rsidRDefault="002D6CC5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F16ED6C" w14:textId="77777777" w:rsidR="002D6CC5" w:rsidRDefault="002D6CC5" w:rsidP="00361FF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D6CC5" w:rsidRPr="00506C33" w14:paraId="1F341813" w14:textId="77777777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7E07F46" w14:textId="77777777" w:rsidR="002D6CC5" w:rsidRDefault="002D6CC5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2C8C65DF" w14:textId="74896421" w:rsidR="002D6CC5" w:rsidRDefault="002D6CC5" w:rsidP="002D6C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Meeting adjourned 9:52 am</w:t>
            </w:r>
          </w:p>
          <w:p w14:paraId="7A7F99BC" w14:textId="38BACA81" w:rsidR="002D6CC5" w:rsidRDefault="002D6CC5" w:rsidP="002D6CC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Next meeting November 29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0C39C480" w14:textId="77777777" w:rsidR="002D6CC5" w:rsidRDefault="002D6CC5" w:rsidP="00361FF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CD14D3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4DA4D5E4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47AE739B" w14:textId="5A8BC8C1"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361FF9">
        <w:rPr>
          <w:rFonts w:ascii="Calibri" w:hAnsi="Calibri" w:cs="Arial"/>
          <w:sz w:val="18"/>
          <w:szCs w:val="18"/>
        </w:rPr>
        <w:t xml:space="preserve"> Sonia Sharma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p w14:paraId="0A95CABE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8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082AC" w14:textId="77777777" w:rsidR="00FA1F80" w:rsidRDefault="00FA1F80" w:rsidP="00097DBB">
      <w:r>
        <w:separator/>
      </w:r>
    </w:p>
  </w:endnote>
  <w:endnote w:type="continuationSeparator" w:id="0">
    <w:p w14:paraId="6975D33B" w14:textId="77777777" w:rsidR="00FA1F80" w:rsidRDefault="00FA1F8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F4A51" w14:textId="77777777" w:rsidR="00FA1F80" w:rsidRPr="00E57F3A" w:rsidRDefault="00FA1F80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F8ECD" w14:textId="77777777" w:rsidR="00FA1F80" w:rsidRDefault="00FA1F80" w:rsidP="00097DBB">
      <w:r>
        <w:separator/>
      </w:r>
    </w:p>
  </w:footnote>
  <w:footnote w:type="continuationSeparator" w:id="0">
    <w:p w14:paraId="345996F0" w14:textId="77777777" w:rsidR="00FA1F80" w:rsidRDefault="00FA1F8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1386"/>
    <w:multiLevelType w:val="hybridMultilevel"/>
    <w:tmpl w:val="CA86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0D0A"/>
    <w:multiLevelType w:val="hybridMultilevel"/>
    <w:tmpl w:val="C568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90492"/>
    <w:multiLevelType w:val="hybridMultilevel"/>
    <w:tmpl w:val="81B45E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DD1A17"/>
    <w:multiLevelType w:val="hybridMultilevel"/>
    <w:tmpl w:val="1E6A4604"/>
    <w:lvl w:ilvl="0" w:tplc="2D20A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131DC"/>
    <w:multiLevelType w:val="hybridMultilevel"/>
    <w:tmpl w:val="DC3CA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7D3975"/>
    <w:multiLevelType w:val="hybridMultilevel"/>
    <w:tmpl w:val="5B683BF0"/>
    <w:lvl w:ilvl="0" w:tplc="7674B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D7066"/>
    <w:multiLevelType w:val="hybridMultilevel"/>
    <w:tmpl w:val="C0761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038CC"/>
    <w:multiLevelType w:val="hybridMultilevel"/>
    <w:tmpl w:val="77821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6DC6"/>
    <w:multiLevelType w:val="hybridMultilevel"/>
    <w:tmpl w:val="C568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66179"/>
    <w:multiLevelType w:val="hybridMultilevel"/>
    <w:tmpl w:val="697C3978"/>
    <w:lvl w:ilvl="0" w:tplc="2D20A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E1746"/>
    <w:multiLevelType w:val="hybridMultilevel"/>
    <w:tmpl w:val="195C61C8"/>
    <w:lvl w:ilvl="0" w:tplc="2D20A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22"/>
  </w:num>
  <w:num w:numId="5">
    <w:abstractNumId w:val="17"/>
  </w:num>
  <w:num w:numId="6">
    <w:abstractNumId w:val="8"/>
  </w:num>
  <w:num w:numId="7">
    <w:abstractNumId w:val="10"/>
  </w:num>
  <w:num w:numId="8">
    <w:abstractNumId w:val="13"/>
  </w:num>
  <w:num w:numId="9">
    <w:abstractNumId w:val="15"/>
  </w:num>
  <w:num w:numId="10">
    <w:abstractNumId w:val="1"/>
  </w:num>
  <w:num w:numId="11">
    <w:abstractNumId w:val="21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7"/>
  </w:num>
  <w:num w:numId="18">
    <w:abstractNumId w:val="11"/>
  </w:num>
  <w:num w:numId="19">
    <w:abstractNumId w:val="18"/>
  </w:num>
  <w:num w:numId="20">
    <w:abstractNumId w:val="2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527"/>
    <w:rsid w:val="00012B29"/>
    <w:rsid w:val="000202A2"/>
    <w:rsid w:val="0002774D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778C9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838C3"/>
    <w:rsid w:val="001A57A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763CD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D6CC5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1FF9"/>
    <w:rsid w:val="003648C2"/>
    <w:rsid w:val="0036508E"/>
    <w:rsid w:val="00371ADE"/>
    <w:rsid w:val="003811F3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641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3EA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1A11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875D2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0D64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A3F8F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90C"/>
    <w:rsid w:val="00954D7C"/>
    <w:rsid w:val="00955B71"/>
    <w:rsid w:val="00961DE2"/>
    <w:rsid w:val="00966DA3"/>
    <w:rsid w:val="00967F39"/>
    <w:rsid w:val="00990376"/>
    <w:rsid w:val="00993A42"/>
    <w:rsid w:val="00995AD4"/>
    <w:rsid w:val="009A5B88"/>
    <w:rsid w:val="009B42B0"/>
    <w:rsid w:val="009B67F6"/>
    <w:rsid w:val="009D0B8D"/>
    <w:rsid w:val="009D379F"/>
    <w:rsid w:val="009D7266"/>
    <w:rsid w:val="009F3CA7"/>
    <w:rsid w:val="00A01B44"/>
    <w:rsid w:val="00A06E12"/>
    <w:rsid w:val="00A071FA"/>
    <w:rsid w:val="00A12616"/>
    <w:rsid w:val="00A17373"/>
    <w:rsid w:val="00A239A5"/>
    <w:rsid w:val="00A24505"/>
    <w:rsid w:val="00A2528D"/>
    <w:rsid w:val="00A26157"/>
    <w:rsid w:val="00A315C0"/>
    <w:rsid w:val="00A35D87"/>
    <w:rsid w:val="00A50023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1A2C"/>
    <w:rsid w:val="00AD335B"/>
    <w:rsid w:val="00AD4A4B"/>
    <w:rsid w:val="00AD66F5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623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29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653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290B"/>
    <w:rsid w:val="00D34CDB"/>
    <w:rsid w:val="00D403CA"/>
    <w:rsid w:val="00D44E9E"/>
    <w:rsid w:val="00D50970"/>
    <w:rsid w:val="00D53525"/>
    <w:rsid w:val="00D57FEF"/>
    <w:rsid w:val="00D61B92"/>
    <w:rsid w:val="00D6596C"/>
    <w:rsid w:val="00D7263B"/>
    <w:rsid w:val="00D72CC5"/>
    <w:rsid w:val="00D7458C"/>
    <w:rsid w:val="00D80CC2"/>
    <w:rsid w:val="00DA45DE"/>
    <w:rsid w:val="00DA7741"/>
    <w:rsid w:val="00DA7825"/>
    <w:rsid w:val="00DB1467"/>
    <w:rsid w:val="00DB1F95"/>
    <w:rsid w:val="00DC26F4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233A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279F"/>
    <w:rsid w:val="00F563FC"/>
    <w:rsid w:val="00F60837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1F8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E4E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</cp:revision>
  <cp:lastPrinted>2012-02-03T14:02:00Z</cp:lastPrinted>
  <dcterms:created xsi:type="dcterms:W3CDTF">2012-11-16T17:31:00Z</dcterms:created>
  <dcterms:modified xsi:type="dcterms:W3CDTF">2012-11-16T17:31:00Z</dcterms:modified>
</cp:coreProperties>
</file>