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4B" w:rsidRPr="0002614B" w:rsidRDefault="0002614B" w:rsidP="0002614B">
      <w:pPr>
        <w:rPr>
          <w:b/>
          <w:sz w:val="16"/>
          <w:szCs w:val="16"/>
        </w:rPr>
      </w:pPr>
      <w:r w:rsidRPr="0002614B">
        <w:rPr>
          <w:b/>
          <w:sz w:val="16"/>
          <w:szCs w:val="16"/>
        </w:rPr>
        <w:t xml:space="preserve">Program Name/Department_________________________________________ </w:t>
      </w:r>
      <w:r w:rsidR="00F107F5">
        <w:rPr>
          <w:b/>
          <w:sz w:val="16"/>
          <w:szCs w:val="16"/>
        </w:rPr>
        <w:t xml:space="preserve">     </w:t>
      </w:r>
      <w:r w:rsidRPr="0002614B">
        <w:rPr>
          <w:b/>
          <w:sz w:val="16"/>
          <w:szCs w:val="16"/>
        </w:rPr>
        <w:t>Semester______________</w:t>
      </w:r>
      <w:r>
        <w:rPr>
          <w:b/>
          <w:sz w:val="16"/>
          <w:szCs w:val="16"/>
        </w:rPr>
        <w:t>__________________</w:t>
      </w:r>
      <w:r w:rsidR="00F107F5">
        <w:rPr>
          <w:b/>
          <w:sz w:val="16"/>
          <w:szCs w:val="16"/>
        </w:rPr>
        <w:t>__________</w:t>
      </w:r>
    </w:p>
    <w:p w:rsidR="0002614B" w:rsidRPr="0002614B" w:rsidRDefault="0002614B" w:rsidP="0002614B">
      <w:pPr>
        <w:rPr>
          <w:b/>
          <w:sz w:val="16"/>
          <w:szCs w:val="16"/>
        </w:rPr>
      </w:pPr>
      <w:r w:rsidRPr="0002614B">
        <w:rPr>
          <w:b/>
          <w:sz w:val="16"/>
          <w:szCs w:val="16"/>
        </w:rPr>
        <w:t>Candidate Name</w:t>
      </w:r>
      <w:proofErr w:type="gramStart"/>
      <w:r w:rsidRPr="0002614B">
        <w:rPr>
          <w:b/>
          <w:sz w:val="16"/>
          <w:szCs w:val="16"/>
        </w:rPr>
        <w:t>:_</w:t>
      </w:r>
      <w:proofErr w:type="gramEnd"/>
      <w:r w:rsidRPr="0002614B">
        <w:rPr>
          <w:b/>
          <w:sz w:val="16"/>
          <w:szCs w:val="16"/>
        </w:rPr>
        <w:t>______________________________</w:t>
      </w:r>
      <w:r w:rsidR="00CF26CA">
        <w:rPr>
          <w:b/>
          <w:sz w:val="16"/>
          <w:szCs w:val="16"/>
        </w:rPr>
        <w:t xml:space="preserve">                                           </w:t>
      </w:r>
      <w:r w:rsidR="00F107F5">
        <w:rPr>
          <w:b/>
          <w:sz w:val="16"/>
          <w:szCs w:val="16"/>
        </w:rPr>
        <w:t xml:space="preserve">      </w:t>
      </w:r>
      <w:r w:rsidR="00CF26CA">
        <w:rPr>
          <w:b/>
          <w:sz w:val="16"/>
          <w:szCs w:val="16"/>
        </w:rPr>
        <w:t>Evaluator:__________</w:t>
      </w:r>
      <w:r w:rsidR="00F107F5">
        <w:rPr>
          <w:b/>
          <w:sz w:val="16"/>
          <w:szCs w:val="16"/>
        </w:rPr>
        <w:t>_______________________________</w:t>
      </w:r>
    </w:p>
    <w:p w:rsidR="0002614B" w:rsidRPr="0002614B" w:rsidRDefault="0002614B" w:rsidP="0002614B">
      <w:pPr>
        <w:rPr>
          <w:b/>
          <w:sz w:val="16"/>
          <w:szCs w:val="16"/>
        </w:rPr>
      </w:pPr>
      <w:r w:rsidRPr="0002614B">
        <w:rPr>
          <w:b/>
          <w:sz w:val="16"/>
          <w:szCs w:val="16"/>
        </w:rPr>
        <w:t>Candidate C#:__________________________________</w:t>
      </w:r>
    </w:p>
    <w:p w:rsidR="00FC6D05" w:rsidRPr="0002614B" w:rsidRDefault="00E77C11" w:rsidP="00FC6D05">
      <w:pPr>
        <w:spacing w:after="0"/>
        <w:jc w:val="center"/>
        <w:rPr>
          <w:b/>
          <w:sz w:val="16"/>
          <w:szCs w:val="16"/>
        </w:rPr>
      </w:pPr>
      <w:r w:rsidRPr="0002614B">
        <w:rPr>
          <w:b/>
          <w:sz w:val="16"/>
          <w:szCs w:val="16"/>
        </w:rPr>
        <w:t>Unit Assessment</w:t>
      </w:r>
    </w:p>
    <w:p w:rsidR="00E77C11" w:rsidRPr="0002614B" w:rsidRDefault="00E77C11" w:rsidP="00E77C11">
      <w:pPr>
        <w:jc w:val="center"/>
        <w:rPr>
          <w:b/>
          <w:sz w:val="16"/>
          <w:szCs w:val="16"/>
        </w:rPr>
      </w:pPr>
      <w:r w:rsidRPr="0002614B">
        <w:rPr>
          <w:b/>
          <w:sz w:val="16"/>
          <w:szCs w:val="16"/>
        </w:rPr>
        <w:t>Advanced Candidate Assessment of Student Learning</w:t>
      </w:r>
    </w:p>
    <w:tbl>
      <w:tblPr>
        <w:tblStyle w:val="TableGrid"/>
        <w:tblW w:w="10368" w:type="dxa"/>
        <w:tblLayout w:type="fixed"/>
        <w:tblCellMar>
          <w:left w:w="115" w:type="dxa"/>
          <w:right w:w="115" w:type="dxa"/>
        </w:tblCellMar>
        <w:tblLook w:val="04A0"/>
      </w:tblPr>
      <w:tblGrid>
        <w:gridCol w:w="1756"/>
        <w:gridCol w:w="2126"/>
        <w:gridCol w:w="2126"/>
        <w:gridCol w:w="2200"/>
        <w:gridCol w:w="540"/>
        <w:gridCol w:w="1620"/>
      </w:tblGrid>
      <w:tr w:rsidR="004215EB" w:rsidRPr="0002614B" w:rsidTr="00CF26CA">
        <w:tc>
          <w:tcPr>
            <w:tcW w:w="1756" w:type="dxa"/>
            <w:shd w:val="clear" w:color="auto" w:fill="D9D9D9" w:themeFill="background1" w:themeFillShade="D9"/>
          </w:tcPr>
          <w:p w:rsidR="004215EB" w:rsidRPr="0002614B" w:rsidRDefault="004215EB" w:rsidP="00A5170F">
            <w:pPr>
              <w:rPr>
                <w:b/>
                <w:sz w:val="16"/>
                <w:szCs w:val="16"/>
              </w:rPr>
            </w:pPr>
            <w:r w:rsidRPr="0002614B">
              <w:rPr>
                <w:b/>
                <w:sz w:val="16"/>
                <w:szCs w:val="16"/>
              </w:rPr>
              <w:t>Elements</w:t>
            </w:r>
          </w:p>
        </w:tc>
        <w:tc>
          <w:tcPr>
            <w:tcW w:w="2126" w:type="dxa"/>
            <w:shd w:val="clear" w:color="auto" w:fill="D9D9D9" w:themeFill="background1" w:themeFillShade="D9"/>
          </w:tcPr>
          <w:p w:rsidR="004215EB" w:rsidRPr="0002614B" w:rsidRDefault="004215EB" w:rsidP="00A5170F">
            <w:pPr>
              <w:rPr>
                <w:b/>
                <w:sz w:val="16"/>
                <w:szCs w:val="16"/>
              </w:rPr>
            </w:pPr>
            <w:r w:rsidRPr="0002614B">
              <w:rPr>
                <w:b/>
                <w:sz w:val="16"/>
                <w:szCs w:val="16"/>
              </w:rPr>
              <w:t xml:space="preserve">Unacceptable </w:t>
            </w:r>
            <w:r w:rsidR="0002614B">
              <w:rPr>
                <w:b/>
                <w:sz w:val="16"/>
                <w:szCs w:val="16"/>
              </w:rPr>
              <w:t>(1)</w:t>
            </w:r>
          </w:p>
        </w:tc>
        <w:tc>
          <w:tcPr>
            <w:tcW w:w="2126" w:type="dxa"/>
            <w:shd w:val="clear" w:color="auto" w:fill="D9D9D9" w:themeFill="background1" w:themeFillShade="D9"/>
          </w:tcPr>
          <w:p w:rsidR="004215EB" w:rsidRPr="0002614B" w:rsidRDefault="004215EB" w:rsidP="00A5170F">
            <w:pPr>
              <w:rPr>
                <w:b/>
                <w:sz w:val="16"/>
                <w:szCs w:val="16"/>
              </w:rPr>
            </w:pPr>
            <w:r w:rsidRPr="0002614B">
              <w:rPr>
                <w:b/>
                <w:sz w:val="16"/>
                <w:szCs w:val="16"/>
              </w:rPr>
              <w:t xml:space="preserve">Acceptable </w:t>
            </w:r>
            <w:r w:rsidR="0002614B">
              <w:rPr>
                <w:b/>
                <w:sz w:val="16"/>
                <w:szCs w:val="16"/>
              </w:rPr>
              <w:t>(2)</w:t>
            </w:r>
            <w:r w:rsidRPr="0002614B">
              <w:rPr>
                <w:b/>
                <w:sz w:val="16"/>
                <w:szCs w:val="16"/>
              </w:rPr>
              <w:t xml:space="preserve"> </w:t>
            </w:r>
          </w:p>
        </w:tc>
        <w:tc>
          <w:tcPr>
            <w:tcW w:w="2200" w:type="dxa"/>
            <w:shd w:val="clear" w:color="auto" w:fill="D9D9D9" w:themeFill="background1" w:themeFillShade="D9"/>
          </w:tcPr>
          <w:p w:rsidR="004215EB" w:rsidRPr="0002614B" w:rsidRDefault="004215EB" w:rsidP="00A5170F">
            <w:pPr>
              <w:rPr>
                <w:b/>
                <w:sz w:val="16"/>
                <w:szCs w:val="16"/>
              </w:rPr>
            </w:pPr>
            <w:r w:rsidRPr="0002614B">
              <w:rPr>
                <w:b/>
                <w:sz w:val="16"/>
                <w:szCs w:val="16"/>
              </w:rPr>
              <w:t>Target</w:t>
            </w:r>
            <w:r w:rsidR="0002614B">
              <w:rPr>
                <w:b/>
                <w:sz w:val="16"/>
                <w:szCs w:val="16"/>
              </w:rPr>
              <w:t xml:space="preserve"> (3)</w:t>
            </w:r>
            <w:r w:rsidRPr="0002614B">
              <w:rPr>
                <w:b/>
                <w:sz w:val="16"/>
                <w:szCs w:val="16"/>
              </w:rPr>
              <w:t xml:space="preserve"> </w:t>
            </w:r>
          </w:p>
        </w:tc>
        <w:tc>
          <w:tcPr>
            <w:tcW w:w="540" w:type="dxa"/>
            <w:shd w:val="clear" w:color="auto" w:fill="D9D9D9" w:themeFill="background1" w:themeFillShade="D9"/>
          </w:tcPr>
          <w:p w:rsidR="004215EB" w:rsidRPr="0002614B" w:rsidRDefault="004215EB" w:rsidP="00A5170F">
            <w:pPr>
              <w:rPr>
                <w:b/>
                <w:sz w:val="16"/>
                <w:szCs w:val="16"/>
              </w:rPr>
            </w:pPr>
            <w:r w:rsidRPr="0002614B">
              <w:rPr>
                <w:b/>
                <w:sz w:val="16"/>
                <w:szCs w:val="16"/>
              </w:rPr>
              <w:t>N/A</w:t>
            </w:r>
            <w:r w:rsidR="0002614B">
              <w:rPr>
                <w:b/>
                <w:sz w:val="16"/>
                <w:szCs w:val="16"/>
              </w:rPr>
              <w:t xml:space="preserve"> </w:t>
            </w:r>
          </w:p>
        </w:tc>
        <w:tc>
          <w:tcPr>
            <w:tcW w:w="1620" w:type="dxa"/>
            <w:shd w:val="clear" w:color="auto" w:fill="D9D9D9" w:themeFill="background1" w:themeFillShade="D9"/>
          </w:tcPr>
          <w:p w:rsidR="004215EB" w:rsidRPr="0002614B" w:rsidRDefault="004215EB" w:rsidP="00A5170F">
            <w:pPr>
              <w:rPr>
                <w:b/>
                <w:sz w:val="16"/>
                <w:szCs w:val="16"/>
              </w:rPr>
            </w:pPr>
            <w:r w:rsidRPr="0002614B">
              <w:rPr>
                <w:b/>
                <w:sz w:val="16"/>
                <w:szCs w:val="16"/>
              </w:rPr>
              <w:t>Candidate Score</w:t>
            </w:r>
          </w:p>
        </w:tc>
      </w:tr>
      <w:tr w:rsidR="004215EB" w:rsidRPr="0002614B" w:rsidTr="00CF26CA">
        <w:tc>
          <w:tcPr>
            <w:tcW w:w="1756" w:type="dxa"/>
          </w:tcPr>
          <w:p w:rsidR="004215EB" w:rsidRPr="0002614B" w:rsidRDefault="004215EB" w:rsidP="00A5170F">
            <w:pPr>
              <w:rPr>
                <w:b/>
                <w:sz w:val="16"/>
                <w:szCs w:val="16"/>
              </w:rPr>
            </w:pPr>
            <w:r w:rsidRPr="0002614B">
              <w:rPr>
                <w:b/>
                <w:sz w:val="16"/>
                <w:szCs w:val="16"/>
              </w:rPr>
              <w:t>Item  #1</w:t>
            </w:r>
          </w:p>
          <w:p w:rsidR="004215EB" w:rsidRPr="0002614B" w:rsidRDefault="004215EB" w:rsidP="00A5170F">
            <w:pPr>
              <w:rPr>
                <w:b/>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r w:rsidRPr="0002614B">
              <w:rPr>
                <w:b/>
                <w:sz w:val="16"/>
                <w:szCs w:val="16"/>
              </w:rPr>
              <w:t xml:space="preserve">Leadership &amp; Professional Development </w:t>
            </w:r>
          </w:p>
          <w:p w:rsidR="004215EB" w:rsidRPr="0002614B" w:rsidRDefault="004215EB" w:rsidP="00A5170F">
            <w:pPr>
              <w:rPr>
                <w:b/>
                <w:sz w:val="16"/>
                <w:szCs w:val="16"/>
              </w:rPr>
            </w:pPr>
          </w:p>
          <w:p w:rsidR="004215EB" w:rsidRPr="0002614B" w:rsidRDefault="004215EB" w:rsidP="00A5170F">
            <w:pPr>
              <w:rPr>
                <w:i/>
                <w:sz w:val="16"/>
                <w:szCs w:val="16"/>
              </w:rPr>
            </w:pPr>
            <w:r w:rsidRPr="0002614B">
              <w:rPr>
                <w:i/>
                <w:sz w:val="16"/>
                <w:szCs w:val="16"/>
              </w:rPr>
              <w:t>Standard 1c</w:t>
            </w:r>
          </w:p>
        </w:tc>
        <w:tc>
          <w:tcPr>
            <w:tcW w:w="2126" w:type="dxa"/>
          </w:tcPr>
          <w:p w:rsidR="004215EB" w:rsidRPr="0002614B" w:rsidRDefault="004215EB" w:rsidP="00A5170F">
            <w:pPr>
              <w:rPr>
                <w:sz w:val="16"/>
                <w:szCs w:val="16"/>
              </w:rPr>
            </w:pPr>
            <w:r w:rsidRPr="0002614B">
              <w:rPr>
                <w:sz w:val="16"/>
                <w:szCs w:val="16"/>
              </w:rPr>
              <w:t xml:space="preserve">Advanced candidates do not reflect on their practice and cannot recognize their strengths and areas of needed improvement.  They do not engage in professional development.  They are not engaged with the professional community to develop meaningful learning experiences.  </w:t>
            </w: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p>
        </w:tc>
        <w:tc>
          <w:tcPr>
            <w:tcW w:w="2126" w:type="dxa"/>
          </w:tcPr>
          <w:p w:rsidR="004215EB" w:rsidRPr="0002614B" w:rsidRDefault="004215EB" w:rsidP="00A5170F">
            <w:pPr>
              <w:rPr>
                <w:sz w:val="16"/>
                <w:szCs w:val="16"/>
              </w:rPr>
            </w:pPr>
            <w:r w:rsidRPr="0002614B">
              <w:rPr>
                <w:sz w:val="16"/>
                <w:szCs w:val="16"/>
              </w:rPr>
              <w:t>Advanced candidates reflect on their practice and are able to identify their strengths and areas of needed improvement.  They engage in professional activities.  They are aware of and utilize school and community resources that support student learning.</w:t>
            </w: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p>
        </w:tc>
        <w:tc>
          <w:tcPr>
            <w:tcW w:w="2200" w:type="dxa"/>
          </w:tcPr>
          <w:p w:rsidR="004215EB" w:rsidRPr="0002614B" w:rsidRDefault="004215EB" w:rsidP="004215EB">
            <w:pPr>
              <w:rPr>
                <w:b/>
                <w:sz w:val="16"/>
                <w:szCs w:val="16"/>
              </w:rPr>
            </w:pPr>
            <w:r w:rsidRPr="0002614B">
              <w:rPr>
                <w:sz w:val="16"/>
                <w:szCs w:val="16"/>
              </w:rPr>
              <w:t>Advanced candidates reflect on their own practice and collaborate with other professionals to identify and design strategies and interventions that support student learning. They assume leadership roles by engaging in professional activities such as presenting at workshops, sharing data with colleagues, and contributing to school improvement and renewal.</w:t>
            </w:r>
          </w:p>
        </w:tc>
        <w:tc>
          <w:tcPr>
            <w:tcW w:w="540" w:type="dxa"/>
          </w:tcPr>
          <w:p w:rsidR="004215EB" w:rsidRPr="0002614B" w:rsidRDefault="004215EB" w:rsidP="00A5170F">
            <w:pPr>
              <w:rPr>
                <w:sz w:val="16"/>
                <w:szCs w:val="16"/>
              </w:rPr>
            </w:pPr>
          </w:p>
        </w:tc>
        <w:tc>
          <w:tcPr>
            <w:tcW w:w="1620" w:type="dxa"/>
          </w:tcPr>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r w:rsidRPr="0002614B">
              <w:rPr>
                <w:b/>
                <w:sz w:val="16"/>
                <w:szCs w:val="16"/>
              </w:rPr>
              <w:t>Item #1:_____</w:t>
            </w:r>
          </w:p>
        </w:tc>
      </w:tr>
      <w:tr w:rsidR="004215EB" w:rsidRPr="0002614B" w:rsidTr="00CF26CA">
        <w:tc>
          <w:tcPr>
            <w:tcW w:w="1756" w:type="dxa"/>
          </w:tcPr>
          <w:p w:rsidR="004215EB" w:rsidRPr="0002614B" w:rsidRDefault="004215EB" w:rsidP="00A5170F">
            <w:pPr>
              <w:rPr>
                <w:b/>
                <w:sz w:val="16"/>
                <w:szCs w:val="16"/>
              </w:rPr>
            </w:pPr>
            <w:r w:rsidRPr="0002614B">
              <w:rPr>
                <w:b/>
                <w:sz w:val="16"/>
                <w:szCs w:val="16"/>
              </w:rPr>
              <w:t>Item #2</w:t>
            </w:r>
          </w:p>
          <w:p w:rsidR="004215EB" w:rsidRPr="0002614B" w:rsidRDefault="004215EB" w:rsidP="00A5170F">
            <w:pPr>
              <w:rPr>
                <w:b/>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r w:rsidRPr="0002614B">
              <w:rPr>
                <w:b/>
                <w:sz w:val="16"/>
                <w:szCs w:val="16"/>
              </w:rPr>
              <w:t>Context for Student Learning</w:t>
            </w:r>
          </w:p>
          <w:p w:rsidR="004215EB" w:rsidRPr="0002614B" w:rsidRDefault="004215EB" w:rsidP="00A5170F">
            <w:pPr>
              <w:rPr>
                <w:b/>
                <w:sz w:val="16"/>
                <w:szCs w:val="16"/>
              </w:rPr>
            </w:pPr>
          </w:p>
          <w:p w:rsidR="004215EB" w:rsidRPr="0002614B" w:rsidRDefault="004215EB" w:rsidP="00A5170F">
            <w:pPr>
              <w:rPr>
                <w:i/>
                <w:sz w:val="16"/>
                <w:szCs w:val="16"/>
              </w:rPr>
            </w:pPr>
            <w:r w:rsidRPr="0002614B">
              <w:rPr>
                <w:i/>
                <w:sz w:val="16"/>
                <w:szCs w:val="16"/>
              </w:rPr>
              <w:t>Standard 1c</w:t>
            </w:r>
          </w:p>
        </w:tc>
        <w:tc>
          <w:tcPr>
            <w:tcW w:w="2126" w:type="dxa"/>
          </w:tcPr>
          <w:p w:rsidR="004215EB" w:rsidRPr="0002614B" w:rsidRDefault="004215EB" w:rsidP="004215EB">
            <w:pPr>
              <w:rPr>
                <w:b/>
                <w:sz w:val="16"/>
                <w:szCs w:val="16"/>
              </w:rPr>
            </w:pPr>
            <w:r w:rsidRPr="0002614B">
              <w:rPr>
                <w:sz w:val="16"/>
                <w:szCs w:val="16"/>
              </w:rPr>
              <w:t>Advanced candidates do not demonstrate an understanding of the school, family, and community contexts in which they work. They do not collaborate with the professional community to create meaningful learning experiences for all students.</w:t>
            </w:r>
          </w:p>
        </w:tc>
        <w:tc>
          <w:tcPr>
            <w:tcW w:w="2126" w:type="dxa"/>
          </w:tcPr>
          <w:p w:rsidR="004215EB" w:rsidRPr="0002614B" w:rsidRDefault="004215EB" w:rsidP="00A5170F">
            <w:pPr>
              <w:rPr>
                <w:sz w:val="16"/>
                <w:szCs w:val="16"/>
              </w:rPr>
            </w:pPr>
            <w:r w:rsidRPr="0002614B">
              <w:rPr>
                <w:sz w:val="16"/>
                <w:szCs w:val="16"/>
              </w:rPr>
              <w:t xml:space="preserve">Advanced candidates demonstrate an understanding of the school, family, and community contexts in which they work. They collaborate with the professional community to create learning experiences for all students. </w:t>
            </w:r>
          </w:p>
          <w:p w:rsidR="004215EB" w:rsidRPr="0002614B" w:rsidRDefault="004215EB" w:rsidP="00A5170F">
            <w:pPr>
              <w:rPr>
                <w:b/>
                <w:sz w:val="16"/>
                <w:szCs w:val="16"/>
              </w:rPr>
            </w:pPr>
          </w:p>
        </w:tc>
        <w:tc>
          <w:tcPr>
            <w:tcW w:w="2200" w:type="dxa"/>
          </w:tcPr>
          <w:p w:rsidR="004215EB" w:rsidRPr="0002614B" w:rsidRDefault="004215EB" w:rsidP="00FC6D05">
            <w:pPr>
              <w:rPr>
                <w:sz w:val="16"/>
                <w:szCs w:val="16"/>
              </w:rPr>
            </w:pPr>
            <w:r w:rsidRPr="0002614B">
              <w:rPr>
                <w:sz w:val="16"/>
                <w:szCs w:val="16"/>
              </w:rPr>
              <w:t>Advanced candidates demonstrate a thorough understanding of the school, family, and community contexts in which they work. They collaborate with the professional community to create meaningful learning experiences for all students.</w:t>
            </w:r>
          </w:p>
          <w:p w:rsidR="004215EB" w:rsidRPr="0002614B" w:rsidRDefault="004215EB" w:rsidP="00FC6D05">
            <w:pPr>
              <w:rPr>
                <w:b/>
                <w:sz w:val="16"/>
                <w:szCs w:val="16"/>
              </w:rPr>
            </w:pPr>
          </w:p>
        </w:tc>
        <w:tc>
          <w:tcPr>
            <w:tcW w:w="540" w:type="dxa"/>
          </w:tcPr>
          <w:p w:rsidR="004215EB" w:rsidRPr="0002614B" w:rsidRDefault="004215EB" w:rsidP="00FC6D05">
            <w:pPr>
              <w:rPr>
                <w:sz w:val="16"/>
                <w:szCs w:val="16"/>
              </w:rPr>
            </w:pPr>
          </w:p>
        </w:tc>
        <w:tc>
          <w:tcPr>
            <w:tcW w:w="1620" w:type="dxa"/>
          </w:tcPr>
          <w:p w:rsidR="004215EB" w:rsidRPr="0002614B" w:rsidRDefault="004215EB" w:rsidP="00FC6D05">
            <w:pPr>
              <w:rPr>
                <w:sz w:val="16"/>
                <w:szCs w:val="16"/>
              </w:rPr>
            </w:pPr>
          </w:p>
          <w:p w:rsidR="004215EB" w:rsidRPr="0002614B" w:rsidRDefault="004215EB" w:rsidP="00FC6D05">
            <w:pPr>
              <w:rPr>
                <w:sz w:val="16"/>
                <w:szCs w:val="16"/>
              </w:rPr>
            </w:pPr>
          </w:p>
          <w:p w:rsidR="004215EB" w:rsidRPr="0002614B" w:rsidRDefault="004215EB" w:rsidP="00FC6D05">
            <w:pPr>
              <w:rPr>
                <w:sz w:val="16"/>
                <w:szCs w:val="16"/>
              </w:rPr>
            </w:pPr>
          </w:p>
          <w:p w:rsidR="004215EB" w:rsidRPr="0002614B" w:rsidRDefault="004215EB" w:rsidP="00FC6D05">
            <w:pPr>
              <w:rPr>
                <w:b/>
                <w:sz w:val="16"/>
                <w:szCs w:val="16"/>
              </w:rPr>
            </w:pPr>
            <w:r w:rsidRPr="0002614B">
              <w:rPr>
                <w:b/>
                <w:sz w:val="16"/>
                <w:szCs w:val="16"/>
              </w:rPr>
              <w:t>Item #2:_____</w:t>
            </w:r>
          </w:p>
        </w:tc>
      </w:tr>
      <w:tr w:rsidR="004215EB" w:rsidRPr="0002614B" w:rsidTr="00CF26CA">
        <w:trPr>
          <w:trHeight w:val="2016"/>
        </w:trPr>
        <w:tc>
          <w:tcPr>
            <w:tcW w:w="1756" w:type="dxa"/>
          </w:tcPr>
          <w:p w:rsidR="004215EB" w:rsidRPr="0002614B" w:rsidRDefault="004215EB" w:rsidP="00A5170F">
            <w:pPr>
              <w:rPr>
                <w:b/>
                <w:sz w:val="16"/>
                <w:szCs w:val="16"/>
              </w:rPr>
            </w:pPr>
            <w:r w:rsidRPr="0002614B">
              <w:rPr>
                <w:b/>
                <w:sz w:val="16"/>
                <w:szCs w:val="16"/>
              </w:rPr>
              <w:t>Item #3</w:t>
            </w:r>
          </w:p>
          <w:p w:rsidR="004215EB" w:rsidRPr="0002614B" w:rsidRDefault="004215EB" w:rsidP="00A5170F">
            <w:pPr>
              <w:rPr>
                <w:b/>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r w:rsidRPr="0002614B">
              <w:rPr>
                <w:b/>
                <w:sz w:val="16"/>
                <w:szCs w:val="16"/>
              </w:rPr>
              <w:t xml:space="preserve">Pedagogical Knowledge &amp; Skills </w:t>
            </w:r>
          </w:p>
          <w:p w:rsidR="004215EB" w:rsidRPr="0002614B" w:rsidRDefault="004215EB" w:rsidP="00A5170F">
            <w:pPr>
              <w:rPr>
                <w:b/>
                <w:sz w:val="16"/>
                <w:szCs w:val="16"/>
              </w:rPr>
            </w:pPr>
          </w:p>
          <w:p w:rsidR="004215EB" w:rsidRPr="0002614B" w:rsidRDefault="004215EB" w:rsidP="00A5170F">
            <w:pPr>
              <w:rPr>
                <w:i/>
                <w:sz w:val="16"/>
                <w:szCs w:val="16"/>
              </w:rPr>
            </w:pPr>
            <w:r w:rsidRPr="0002614B">
              <w:rPr>
                <w:i/>
                <w:sz w:val="16"/>
                <w:szCs w:val="16"/>
              </w:rPr>
              <w:t>Standard 1c</w:t>
            </w:r>
          </w:p>
        </w:tc>
        <w:tc>
          <w:tcPr>
            <w:tcW w:w="2126" w:type="dxa"/>
          </w:tcPr>
          <w:p w:rsidR="004215EB" w:rsidRPr="0002614B" w:rsidRDefault="004215EB" w:rsidP="00A5170F">
            <w:pPr>
              <w:rPr>
                <w:sz w:val="16"/>
                <w:szCs w:val="16"/>
              </w:rPr>
            </w:pPr>
            <w:r w:rsidRPr="0002614B">
              <w:rPr>
                <w:sz w:val="16"/>
                <w:szCs w:val="16"/>
              </w:rPr>
              <w:t>Advanced candidates demonstrate a limited understanding of the major concepts and theories related to assessing student learning.  They do not keep abreast of current research and policies on schooling, teaching, learning and best practices.</w:t>
            </w: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p>
        </w:tc>
        <w:tc>
          <w:tcPr>
            <w:tcW w:w="2126" w:type="dxa"/>
          </w:tcPr>
          <w:p w:rsidR="004215EB" w:rsidRPr="0002614B" w:rsidRDefault="004215EB" w:rsidP="00A5170F">
            <w:pPr>
              <w:rPr>
                <w:sz w:val="16"/>
                <w:szCs w:val="16"/>
              </w:rPr>
            </w:pPr>
            <w:r w:rsidRPr="0002614B">
              <w:rPr>
                <w:sz w:val="16"/>
                <w:szCs w:val="16"/>
              </w:rPr>
              <w:t xml:space="preserve">Advanced candidates apply current research and policies related to schooling, teaching, learning, and best practices.  They are able to analyze educational research and policies and can explain the implications for their own practice. </w:t>
            </w: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p>
        </w:tc>
        <w:tc>
          <w:tcPr>
            <w:tcW w:w="2200" w:type="dxa"/>
          </w:tcPr>
          <w:p w:rsidR="004215EB" w:rsidRPr="0002614B" w:rsidRDefault="004215EB" w:rsidP="00CF26CA">
            <w:pPr>
              <w:rPr>
                <w:b/>
                <w:sz w:val="16"/>
                <w:szCs w:val="16"/>
              </w:rPr>
            </w:pPr>
            <w:r w:rsidRPr="0002614B">
              <w:rPr>
                <w:sz w:val="16"/>
                <w:szCs w:val="16"/>
              </w:rPr>
              <w:t>Candidates in advanced programs for teachers develop expertise in certain aspects of professional and pedagogical knowledge and contribute to the dialogue based on their research and experiences. They are able to analyze educational research and policies and can explain the implications for their own practice and the profession.</w:t>
            </w:r>
          </w:p>
        </w:tc>
        <w:tc>
          <w:tcPr>
            <w:tcW w:w="540" w:type="dxa"/>
          </w:tcPr>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tc>
        <w:tc>
          <w:tcPr>
            <w:tcW w:w="1620" w:type="dxa"/>
          </w:tcPr>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r w:rsidRPr="0002614B">
              <w:rPr>
                <w:b/>
                <w:sz w:val="16"/>
                <w:szCs w:val="16"/>
              </w:rPr>
              <w:t>Item #3:_____</w:t>
            </w:r>
          </w:p>
        </w:tc>
      </w:tr>
      <w:tr w:rsidR="004215EB" w:rsidRPr="0002614B" w:rsidTr="00CF26CA">
        <w:tc>
          <w:tcPr>
            <w:tcW w:w="1756" w:type="dxa"/>
          </w:tcPr>
          <w:p w:rsidR="004215EB" w:rsidRPr="0002614B" w:rsidRDefault="004215EB" w:rsidP="00A5170F">
            <w:pPr>
              <w:rPr>
                <w:b/>
                <w:sz w:val="16"/>
                <w:szCs w:val="16"/>
              </w:rPr>
            </w:pPr>
            <w:r w:rsidRPr="0002614B">
              <w:rPr>
                <w:sz w:val="16"/>
                <w:szCs w:val="16"/>
              </w:rPr>
              <w:br w:type="page"/>
            </w:r>
            <w:r w:rsidRPr="0002614B">
              <w:rPr>
                <w:b/>
                <w:sz w:val="16"/>
                <w:szCs w:val="16"/>
              </w:rPr>
              <w:t>Item #4</w:t>
            </w: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r w:rsidRPr="0002614B">
              <w:rPr>
                <w:b/>
                <w:sz w:val="16"/>
                <w:szCs w:val="16"/>
              </w:rPr>
              <w:t>Assessment of Student Learning</w:t>
            </w:r>
          </w:p>
          <w:p w:rsidR="004215EB" w:rsidRPr="0002614B" w:rsidRDefault="004215EB" w:rsidP="00A5170F">
            <w:pPr>
              <w:rPr>
                <w:b/>
                <w:sz w:val="16"/>
                <w:szCs w:val="16"/>
              </w:rPr>
            </w:pPr>
          </w:p>
          <w:p w:rsidR="004215EB" w:rsidRPr="0002614B" w:rsidRDefault="004215EB" w:rsidP="00A5170F">
            <w:pPr>
              <w:rPr>
                <w:i/>
                <w:sz w:val="16"/>
                <w:szCs w:val="16"/>
              </w:rPr>
            </w:pPr>
            <w:r w:rsidRPr="0002614B">
              <w:rPr>
                <w:i/>
                <w:sz w:val="16"/>
                <w:szCs w:val="16"/>
              </w:rPr>
              <w:t>Standard 1d</w:t>
            </w:r>
          </w:p>
          <w:p w:rsidR="004215EB" w:rsidRPr="0002614B" w:rsidRDefault="004215EB" w:rsidP="00A5170F">
            <w:pPr>
              <w:rPr>
                <w:i/>
                <w:sz w:val="16"/>
                <w:szCs w:val="16"/>
              </w:rPr>
            </w:pPr>
          </w:p>
        </w:tc>
        <w:tc>
          <w:tcPr>
            <w:tcW w:w="2126" w:type="dxa"/>
          </w:tcPr>
          <w:p w:rsidR="004215EB" w:rsidRPr="0002614B" w:rsidRDefault="004215EB" w:rsidP="00A5170F">
            <w:pPr>
              <w:rPr>
                <w:sz w:val="16"/>
                <w:szCs w:val="16"/>
              </w:rPr>
            </w:pPr>
            <w:r w:rsidRPr="0002614B">
              <w:rPr>
                <w:sz w:val="16"/>
                <w:szCs w:val="16"/>
              </w:rPr>
              <w:t>Advanced candidates do not use classroom performance data to make decisions about teaching strategies.  They do not use community resources to support student learning.</w:t>
            </w: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p>
        </w:tc>
        <w:tc>
          <w:tcPr>
            <w:tcW w:w="2126" w:type="dxa"/>
          </w:tcPr>
          <w:p w:rsidR="004215EB" w:rsidRPr="0002614B" w:rsidRDefault="004215EB" w:rsidP="00A5170F">
            <w:pPr>
              <w:rPr>
                <w:sz w:val="16"/>
                <w:szCs w:val="16"/>
              </w:rPr>
            </w:pPr>
            <w:r w:rsidRPr="0002614B">
              <w:rPr>
                <w:sz w:val="16"/>
                <w:szCs w:val="16"/>
              </w:rPr>
              <w:t xml:space="preserve">Advanced candidates demonstrate an understanding of assessment.  They analyze student, classroom, and school performance data and make data-driven decisions about strategies for teaching and learning so that all students learn.  </w:t>
            </w: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p>
          <w:p w:rsidR="004215EB" w:rsidRPr="0002614B" w:rsidRDefault="004215EB" w:rsidP="00A5170F">
            <w:pPr>
              <w:rPr>
                <w:b/>
                <w:sz w:val="16"/>
                <w:szCs w:val="16"/>
              </w:rPr>
            </w:pPr>
          </w:p>
        </w:tc>
        <w:tc>
          <w:tcPr>
            <w:tcW w:w="2200" w:type="dxa"/>
          </w:tcPr>
          <w:p w:rsidR="004215EB" w:rsidRPr="0002614B" w:rsidRDefault="004215EB" w:rsidP="00CF26CA">
            <w:pPr>
              <w:rPr>
                <w:b/>
                <w:sz w:val="16"/>
                <w:szCs w:val="16"/>
              </w:rPr>
            </w:pPr>
            <w:r w:rsidRPr="0002614B">
              <w:rPr>
                <w:sz w:val="16"/>
                <w:szCs w:val="16"/>
              </w:rPr>
              <w:t>Advanced candidates demonstrate a thorough understanding for the major concepts and theories related to assessing student learning and regularly apply these in their practice.  They analyze student, classroom, and school performance data and make data-driven decisions about strategies for teaching and learning so that all students learn.</w:t>
            </w:r>
          </w:p>
        </w:tc>
        <w:tc>
          <w:tcPr>
            <w:tcW w:w="540" w:type="dxa"/>
          </w:tcPr>
          <w:p w:rsidR="004215EB" w:rsidRPr="0002614B" w:rsidRDefault="004215EB" w:rsidP="00A5170F">
            <w:pPr>
              <w:rPr>
                <w:sz w:val="16"/>
                <w:szCs w:val="16"/>
              </w:rPr>
            </w:pPr>
          </w:p>
        </w:tc>
        <w:tc>
          <w:tcPr>
            <w:tcW w:w="1620" w:type="dxa"/>
          </w:tcPr>
          <w:p w:rsidR="004215EB" w:rsidRPr="0002614B" w:rsidRDefault="004215EB" w:rsidP="00A5170F">
            <w:pPr>
              <w:rPr>
                <w:sz w:val="16"/>
                <w:szCs w:val="16"/>
              </w:rPr>
            </w:pPr>
          </w:p>
          <w:p w:rsidR="004215EB" w:rsidRPr="0002614B" w:rsidRDefault="004215EB" w:rsidP="00A5170F">
            <w:pPr>
              <w:rPr>
                <w:sz w:val="16"/>
                <w:szCs w:val="16"/>
              </w:rPr>
            </w:pPr>
          </w:p>
          <w:p w:rsidR="004215EB" w:rsidRPr="0002614B" w:rsidRDefault="004215EB" w:rsidP="00A5170F">
            <w:pPr>
              <w:rPr>
                <w:sz w:val="16"/>
                <w:szCs w:val="16"/>
              </w:rPr>
            </w:pPr>
          </w:p>
          <w:p w:rsidR="004215EB" w:rsidRDefault="004215EB" w:rsidP="00A5170F">
            <w:pPr>
              <w:rPr>
                <w:b/>
                <w:sz w:val="16"/>
                <w:szCs w:val="16"/>
              </w:rPr>
            </w:pPr>
            <w:r w:rsidRPr="0002614B">
              <w:rPr>
                <w:b/>
                <w:sz w:val="16"/>
                <w:szCs w:val="16"/>
              </w:rPr>
              <w:t>Item #4_____</w:t>
            </w:r>
          </w:p>
          <w:p w:rsidR="00CF26CA" w:rsidRDefault="00CF26CA" w:rsidP="00A5170F">
            <w:pPr>
              <w:rPr>
                <w:b/>
                <w:sz w:val="16"/>
                <w:szCs w:val="16"/>
              </w:rPr>
            </w:pPr>
          </w:p>
          <w:p w:rsidR="00CF26CA" w:rsidRDefault="00CF26CA" w:rsidP="00A5170F">
            <w:pPr>
              <w:rPr>
                <w:b/>
                <w:sz w:val="16"/>
                <w:szCs w:val="16"/>
              </w:rPr>
            </w:pPr>
          </w:p>
          <w:p w:rsidR="00CF26CA" w:rsidRDefault="00CF26CA" w:rsidP="00A5170F">
            <w:pPr>
              <w:rPr>
                <w:b/>
                <w:sz w:val="16"/>
                <w:szCs w:val="16"/>
              </w:rPr>
            </w:pPr>
          </w:p>
          <w:p w:rsidR="00CF26CA" w:rsidRDefault="00CF26CA" w:rsidP="00A5170F">
            <w:pPr>
              <w:rPr>
                <w:b/>
                <w:sz w:val="16"/>
                <w:szCs w:val="16"/>
              </w:rPr>
            </w:pPr>
          </w:p>
          <w:p w:rsidR="00CF26CA" w:rsidRDefault="00CF26CA" w:rsidP="00A5170F">
            <w:pPr>
              <w:rPr>
                <w:b/>
                <w:sz w:val="16"/>
                <w:szCs w:val="16"/>
              </w:rPr>
            </w:pPr>
          </w:p>
          <w:p w:rsidR="00CF26CA" w:rsidRDefault="00CF26CA" w:rsidP="00A5170F">
            <w:pPr>
              <w:rPr>
                <w:b/>
                <w:sz w:val="16"/>
                <w:szCs w:val="16"/>
              </w:rPr>
            </w:pPr>
          </w:p>
          <w:p w:rsidR="00CF26CA" w:rsidRDefault="00CF26CA" w:rsidP="00A5170F">
            <w:pPr>
              <w:rPr>
                <w:b/>
                <w:sz w:val="16"/>
                <w:szCs w:val="16"/>
              </w:rPr>
            </w:pPr>
          </w:p>
          <w:p w:rsidR="00CF26CA" w:rsidRDefault="00CF26CA" w:rsidP="00A5170F">
            <w:pPr>
              <w:rPr>
                <w:b/>
                <w:sz w:val="16"/>
                <w:szCs w:val="16"/>
              </w:rPr>
            </w:pPr>
          </w:p>
          <w:p w:rsidR="00CF26CA" w:rsidRPr="0002614B" w:rsidRDefault="00CF26CA" w:rsidP="00A5170F">
            <w:pPr>
              <w:rPr>
                <w:b/>
                <w:sz w:val="16"/>
                <w:szCs w:val="16"/>
              </w:rPr>
            </w:pPr>
          </w:p>
        </w:tc>
      </w:tr>
    </w:tbl>
    <w:p w:rsidR="008D149A" w:rsidRDefault="008D149A" w:rsidP="00FC6D05"/>
    <w:sectPr w:rsidR="008D149A" w:rsidSect="005A7DF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77C11"/>
    <w:rsid w:val="00000F5D"/>
    <w:rsid w:val="0002614B"/>
    <w:rsid w:val="00105189"/>
    <w:rsid w:val="001A1673"/>
    <w:rsid w:val="00235968"/>
    <w:rsid w:val="003339E5"/>
    <w:rsid w:val="00421509"/>
    <w:rsid w:val="004215EB"/>
    <w:rsid w:val="00551855"/>
    <w:rsid w:val="005A7DF9"/>
    <w:rsid w:val="006440B0"/>
    <w:rsid w:val="006D71F3"/>
    <w:rsid w:val="00763DA8"/>
    <w:rsid w:val="00820A63"/>
    <w:rsid w:val="008C2FBE"/>
    <w:rsid w:val="008D149A"/>
    <w:rsid w:val="00911904"/>
    <w:rsid w:val="00972D06"/>
    <w:rsid w:val="009A0EE2"/>
    <w:rsid w:val="00A76C5F"/>
    <w:rsid w:val="00A927E4"/>
    <w:rsid w:val="00A92C61"/>
    <w:rsid w:val="00C16D5E"/>
    <w:rsid w:val="00CF26CA"/>
    <w:rsid w:val="00E77C11"/>
    <w:rsid w:val="00F107F5"/>
    <w:rsid w:val="00F73A3A"/>
    <w:rsid w:val="00FC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3</cp:revision>
  <cp:lastPrinted>2012-06-27T15:57:00Z</cp:lastPrinted>
  <dcterms:created xsi:type="dcterms:W3CDTF">2012-06-27T16:09:00Z</dcterms:created>
  <dcterms:modified xsi:type="dcterms:W3CDTF">2012-06-27T18:51:00Z</dcterms:modified>
</cp:coreProperties>
</file>