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3D3" w:rsidRPr="00E803D3" w:rsidRDefault="00E803D3" w:rsidP="00E803D3">
      <w:pPr>
        <w:rPr>
          <w:b/>
          <w:sz w:val="16"/>
          <w:szCs w:val="16"/>
        </w:rPr>
      </w:pPr>
      <w:r w:rsidRPr="00E803D3">
        <w:rPr>
          <w:b/>
          <w:sz w:val="16"/>
          <w:szCs w:val="16"/>
        </w:rPr>
        <w:t xml:space="preserve">Program Name/Department_________________________________________ </w:t>
      </w:r>
      <w:r w:rsidR="00666AED">
        <w:rPr>
          <w:b/>
          <w:sz w:val="16"/>
          <w:szCs w:val="16"/>
        </w:rPr>
        <w:t xml:space="preserve">     </w:t>
      </w:r>
      <w:r w:rsidRPr="00E803D3">
        <w:rPr>
          <w:b/>
          <w:sz w:val="16"/>
          <w:szCs w:val="16"/>
        </w:rPr>
        <w:t>Semester________________________________</w:t>
      </w:r>
    </w:p>
    <w:p w:rsidR="00E803D3" w:rsidRPr="00E803D3" w:rsidRDefault="00E803D3" w:rsidP="00E803D3">
      <w:pPr>
        <w:rPr>
          <w:b/>
          <w:sz w:val="16"/>
          <w:szCs w:val="16"/>
        </w:rPr>
      </w:pPr>
      <w:r w:rsidRPr="00E803D3">
        <w:rPr>
          <w:b/>
          <w:sz w:val="16"/>
          <w:szCs w:val="16"/>
        </w:rPr>
        <w:t>Candidate Name</w:t>
      </w:r>
      <w:proofErr w:type="gramStart"/>
      <w:r w:rsidRPr="00E803D3">
        <w:rPr>
          <w:b/>
          <w:sz w:val="16"/>
          <w:szCs w:val="16"/>
        </w:rPr>
        <w:t>:_</w:t>
      </w:r>
      <w:proofErr w:type="gramEnd"/>
      <w:r w:rsidRPr="00E803D3">
        <w:rPr>
          <w:b/>
          <w:sz w:val="16"/>
          <w:szCs w:val="16"/>
        </w:rPr>
        <w:t xml:space="preserve">______________________________                                           </w:t>
      </w:r>
      <w:r w:rsidR="00666AED">
        <w:rPr>
          <w:b/>
          <w:sz w:val="16"/>
          <w:szCs w:val="16"/>
        </w:rPr>
        <w:t xml:space="preserve">     </w:t>
      </w:r>
      <w:r w:rsidRPr="00E803D3">
        <w:rPr>
          <w:b/>
          <w:sz w:val="16"/>
          <w:szCs w:val="16"/>
        </w:rPr>
        <w:t>Evaluator:__________</w:t>
      </w:r>
      <w:r w:rsidR="00666AED">
        <w:rPr>
          <w:b/>
          <w:sz w:val="16"/>
          <w:szCs w:val="16"/>
        </w:rPr>
        <w:t>_____________________</w:t>
      </w:r>
    </w:p>
    <w:p w:rsidR="00E803D3" w:rsidRPr="00E803D3" w:rsidRDefault="00E803D3" w:rsidP="00E803D3">
      <w:pPr>
        <w:rPr>
          <w:b/>
          <w:sz w:val="16"/>
          <w:szCs w:val="16"/>
        </w:rPr>
      </w:pPr>
      <w:r w:rsidRPr="00E803D3">
        <w:rPr>
          <w:b/>
          <w:sz w:val="16"/>
          <w:szCs w:val="16"/>
        </w:rPr>
        <w:t>Candidate C#:__________________________________</w:t>
      </w:r>
    </w:p>
    <w:p w:rsidR="009B2FF0" w:rsidRPr="00E803D3" w:rsidRDefault="009B2FF0" w:rsidP="00CA19B2">
      <w:pPr>
        <w:spacing w:after="0"/>
        <w:jc w:val="center"/>
        <w:rPr>
          <w:b/>
          <w:sz w:val="16"/>
          <w:szCs w:val="16"/>
        </w:rPr>
      </w:pPr>
      <w:r w:rsidRPr="00E803D3">
        <w:rPr>
          <w:b/>
          <w:sz w:val="16"/>
          <w:szCs w:val="16"/>
        </w:rPr>
        <w:t>Unit Assessment</w:t>
      </w:r>
    </w:p>
    <w:p w:rsidR="009B2FF0" w:rsidRPr="00E803D3" w:rsidRDefault="009B2FF0" w:rsidP="009B2FF0">
      <w:pPr>
        <w:jc w:val="center"/>
        <w:rPr>
          <w:b/>
          <w:sz w:val="16"/>
          <w:szCs w:val="16"/>
        </w:rPr>
      </w:pPr>
      <w:r w:rsidRPr="00E803D3">
        <w:rPr>
          <w:b/>
          <w:sz w:val="16"/>
          <w:szCs w:val="16"/>
        </w:rPr>
        <w:t>Initial Teacher Candidate Assessment of Student Learning</w:t>
      </w:r>
    </w:p>
    <w:tbl>
      <w:tblPr>
        <w:tblStyle w:val="TableGrid"/>
        <w:tblW w:w="10893" w:type="dxa"/>
        <w:tblInd w:w="-795" w:type="dxa"/>
        <w:tblLook w:val="04A0"/>
      </w:tblPr>
      <w:tblGrid>
        <w:gridCol w:w="1726"/>
        <w:gridCol w:w="2088"/>
        <w:gridCol w:w="2088"/>
        <w:gridCol w:w="2088"/>
        <w:gridCol w:w="521"/>
        <w:gridCol w:w="2382"/>
      </w:tblGrid>
      <w:tr w:rsidR="00984340" w:rsidRPr="00E803D3" w:rsidTr="00984340">
        <w:trPr>
          <w:trHeight w:val="359"/>
        </w:trPr>
        <w:tc>
          <w:tcPr>
            <w:tcW w:w="1726" w:type="dxa"/>
            <w:shd w:val="clear" w:color="auto" w:fill="D9D9D9" w:themeFill="background1" w:themeFillShade="D9"/>
          </w:tcPr>
          <w:p w:rsidR="00984340" w:rsidRPr="00E803D3" w:rsidRDefault="00984340" w:rsidP="000F7799">
            <w:pPr>
              <w:rPr>
                <w:b/>
                <w:sz w:val="16"/>
                <w:szCs w:val="16"/>
              </w:rPr>
            </w:pPr>
            <w:r w:rsidRPr="00E803D3">
              <w:rPr>
                <w:b/>
                <w:sz w:val="16"/>
                <w:szCs w:val="16"/>
              </w:rPr>
              <w:t>Elements</w:t>
            </w:r>
          </w:p>
        </w:tc>
        <w:tc>
          <w:tcPr>
            <w:tcW w:w="2088" w:type="dxa"/>
            <w:shd w:val="clear" w:color="auto" w:fill="D9D9D9" w:themeFill="background1" w:themeFillShade="D9"/>
          </w:tcPr>
          <w:p w:rsidR="00984340" w:rsidRPr="00E803D3" w:rsidRDefault="00984340" w:rsidP="000F7799">
            <w:pPr>
              <w:rPr>
                <w:b/>
                <w:sz w:val="16"/>
                <w:szCs w:val="16"/>
              </w:rPr>
            </w:pPr>
            <w:r w:rsidRPr="00E803D3">
              <w:rPr>
                <w:b/>
                <w:sz w:val="16"/>
                <w:szCs w:val="16"/>
              </w:rPr>
              <w:t>Unacceptable (1)</w:t>
            </w:r>
          </w:p>
        </w:tc>
        <w:tc>
          <w:tcPr>
            <w:tcW w:w="2088" w:type="dxa"/>
            <w:shd w:val="clear" w:color="auto" w:fill="D9D9D9" w:themeFill="background1" w:themeFillShade="D9"/>
          </w:tcPr>
          <w:p w:rsidR="00984340" w:rsidRPr="00E803D3" w:rsidRDefault="00984340" w:rsidP="000F7799">
            <w:pPr>
              <w:rPr>
                <w:b/>
                <w:sz w:val="16"/>
                <w:szCs w:val="16"/>
              </w:rPr>
            </w:pPr>
            <w:r w:rsidRPr="00E803D3">
              <w:rPr>
                <w:b/>
                <w:sz w:val="16"/>
                <w:szCs w:val="16"/>
              </w:rPr>
              <w:t xml:space="preserve">Acceptable (2) </w:t>
            </w:r>
          </w:p>
        </w:tc>
        <w:tc>
          <w:tcPr>
            <w:tcW w:w="2088" w:type="dxa"/>
            <w:shd w:val="clear" w:color="auto" w:fill="D9D9D9" w:themeFill="background1" w:themeFillShade="D9"/>
          </w:tcPr>
          <w:p w:rsidR="00984340" w:rsidRPr="00E803D3" w:rsidRDefault="00984340" w:rsidP="000F7799">
            <w:pPr>
              <w:rPr>
                <w:b/>
                <w:sz w:val="16"/>
                <w:szCs w:val="16"/>
              </w:rPr>
            </w:pPr>
            <w:r w:rsidRPr="00E803D3">
              <w:rPr>
                <w:b/>
                <w:sz w:val="16"/>
                <w:szCs w:val="16"/>
              </w:rPr>
              <w:t>Target (3)</w:t>
            </w:r>
          </w:p>
        </w:tc>
        <w:tc>
          <w:tcPr>
            <w:tcW w:w="521" w:type="dxa"/>
            <w:shd w:val="clear" w:color="auto" w:fill="D9D9D9" w:themeFill="background1" w:themeFillShade="D9"/>
          </w:tcPr>
          <w:p w:rsidR="00984340" w:rsidRPr="00E803D3" w:rsidRDefault="00984340" w:rsidP="000F7799">
            <w:pPr>
              <w:rPr>
                <w:b/>
                <w:sz w:val="16"/>
                <w:szCs w:val="16"/>
              </w:rPr>
            </w:pPr>
            <w:r w:rsidRPr="00E803D3">
              <w:rPr>
                <w:b/>
                <w:sz w:val="16"/>
                <w:szCs w:val="16"/>
              </w:rPr>
              <w:t>N/A</w:t>
            </w:r>
          </w:p>
        </w:tc>
        <w:tc>
          <w:tcPr>
            <w:tcW w:w="2382" w:type="dxa"/>
            <w:shd w:val="clear" w:color="auto" w:fill="D9D9D9" w:themeFill="background1" w:themeFillShade="D9"/>
          </w:tcPr>
          <w:p w:rsidR="00984340" w:rsidRPr="00E803D3" w:rsidRDefault="00984340" w:rsidP="000F7799">
            <w:pPr>
              <w:rPr>
                <w:b/>
                <w:sz w:val="16"/>
                <w:szCs w:val="16"/>
              </w:rPr>
            </w:pPr>
            <w:r w:rsidRPr="00E803D3">
              <w:rPr>
                <w:b/>
                <w:sz w:val="16"/>
                <w:szCs w:val="16"/>
              </w:rPr>
              <w:t>Candidate Score</w:t>
            </w:r>
          </w:p>
        </w:tc>
      </w:tr>
      <w:tr w:rsidR="00984340" w:rsidRPr="00E803D3" w:rsidTr="00984340">
        <w:tc>
          <w:tcPr>
            <w:tcW w:w="1726" w:type="dxa"/>
          </w:tcPr>
          <w:p w:rsidR="00984340" w:rsidRPr="00E803D3" w:rsidRDefault="00984340" w:rsidP="000F7799">
            <w:pPr>
              <w:rPr>
                <w:b/>
                <w:sz w:val="16"/>
                <w:szCs w:val="16"/>
              </w:rPr>
            </w:pPr>
            <w:r w:rsidRPr="00E803D3">
              <w:rPr>
                <w:b/>
                <w:sz w:val="16"/>
                <w:szCs w:val="16"/>
              </w:rPr>
              <w:t>Item #1</w:t>
            </w:r>
          </w:p>
          <w:p w:rsidR="00984340" w:rsidRPr="00E803D3" w:rsidRDefault="00984340" w:rsidP="000F7799">
            <w:pPr>
              <w:rPr>
                <w:b/>
                <w:sz w:val="16"/>
                <w:szCs w:val="16"/>
              </w:rPr>
            </w:pPr>
          </w:p>
          <w:p w:rsidR="00984340" w:rsidRPr="00E803D3" w:rsidRDefault="00984340" w:rsidP="000F7799">
            <w:pPr>
              <w:rPr>
                <w:b/>
                <w:sz w:val="16"/>
                <w:szCs w:val="16"/>
              </w:rPr>
            </w:pPr>
          </w:p>
          <w:p w:rsidR="00984340" w:rsidRPr="00E803D3" w:rsidRDefault="00984340" w:rsidP="000F7799">
            <w:pPr>
              <w:rPr>
                <w:b/>
                <w:sz w:val="16"/>
                <w:szCs w:val="16"/>
              </w:rPr>
            </w:pPr>
            <w:r w:rsidRPr="00E803D3">
              <w:rPr>
                <w:b/>
                <w:sz w:val="16"/>
                <w:szCs w:val="16"/>
              </w:rPr>
              <w:t>Professional and Pedagogical Knowledge and Skills</w:t>
            </w:r>
          </w:p>
          <w:p w:rsidR="00984340" w:rsidRPr="00E803D3" w:rsidRDefault="00984340" w:rsidP="000F7799">
            <w:pPr>
              <w:rPr>
                <w:b/>
                <w:sz w:val="16"/>
                <w:szCs w:val="16"/>
              </w:rPr>
            </w:pPr>
          </w:p>
          <w:p w:rsidR="00984340" w:rsidRPr="00E803D3" w:rsidRDefault="00984340" w:rsidP="000F7799">
            <w:pPr>
              <w:rPr>
                <w:i/>
                <w:sz w:val="16"/>
                <w:szCs w:val="16"/>
              </w:rPr>
            </w:pPr>
            <w:r w:rsidRPr="00E803D3">
              <w:rPr>
                <w:i/>
                <w:sz w:val="16"/>
                <w:szCs w:val="16"/>
              </w:rPr>
              <w:t>Standard 1c</w:t>
            </w:r>
          </w:p>
        </w:tc>
        <w:tc>
          <w:tcPr>
            <w:tcW w:w="2088" w:type="dxa"/>
          </w:tcPr>
          <w:p w:rsidR="00984340" w:rsidRPr="00E803D3" w:rsidRDefault="00984340" w:rsidP="000F7799">
            <w:pPr>
              <w:rPr>
                <w:sz w:val="16"/>
                <w:szCs w:val="16"/>
              </w:rPr>
            </w:pPr>
            <w:r w:rsidRPr="00E803D3">
              <w:rPr>
                <w:sz w:val="16"/>
                <w:szCs w:val="16"/>
              </w:rPr>
              <w:t xml:space="preserve">Teacher candidates do not apply professional and pedagogical knowledge and skills delineated in professional, state, and institutional standards. </w:t>
            </w: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b/>
                <w:sz w:val="16"/>
                <w:szCs w:val="16"/>
              </w:rPr>
            </w:pPr>
          </w:p>
          <w:p w:rsidR="00984340" w:rsidRPr="00E803D3" w:rsidRDefault="00984340" w:rsidP="000F7799">
            <w:pPr>
              <w:rPr>
                <w:b/>
                <w:sz w:val="16"/>
                <w:szCs w:val="16"/>
              </w:rPr>
            </w:pPr>
          </w:p>
          <w:p w:rsidR="00984340" w:rsidRPr="00E803D3" w:rsidRDefault="00984340" w:rsidP="000F7799">
            <w:pPr>
              <w:rPr>
                <w:b/>
                <w:sz w:val="16"/>
                <w:szCs w:val="16"/>
              </w:rPr>
            </w:pPr>
          </w:p>
        </w:tc>
        <w:tc>
          <w:tcPr>
            <w:tcW w:w="2088" w:type="dxa"/>
          </w:tcPr>
          <w:p w:rsidR="00984340" w:rsidRPr="00E803D3" w:rsidRDefault="00984340" w:rsidP="000F7799">
            <w:pPr>
              <w:rPr>
                <w:sz w:val="16"/>
                <w:szCs w:val="16"/>
              </w:rPr>
            </w:pPr>
            <w:r w:rsidRPr="00E803D3">
              <w:rPr>
                <w:sz w:val="16"/>
                <w:szCs w:val="16"/>
              </w:rPr>
              <w:t xml:space="preserve">Teacher candidates can apply the professional and pedagogical knowledge and skills delineated in professional, state, and institutional standards to facilitate learning.  Their work reflects major schools of thought about schooling, teaching and learning. </w:t>
            </w: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b/>
                <w:sz w:val="16"/>
                <w:szCs w:val="16"/>
              </w:rPr>
            </w:pPr>
          </w:p>
          <w:p w:rsidR="00984340" w:rsidRPr="00E803D3" w:rsidRDefault="00984340" w:rsidP="000F7799">
            <w:pPr>
              <w:rPr>
                <w:b/>
                <w:sz w:val="16"/>
                <w:szCs w:val="16"/>
              </w:rPr>
            </w:pPr>
          </w:p>
        </w:tc>
        <w:tc>
          <w:tcPr>
            <w:tcW w:w="2088" w:type="dxa"/>
          </w:tcPr>
          <w:p w:rsidR="00984340" w:rsidRPr="00E803D3" w:rsidRDefault="00984340" w:rsidP="00984340">
            <w:pPr>
              <w:rPr>
                <w:b/>
                <w:sz w:val="16"/>
                <w:szCs w:val="16"/>
              </w:rPr>
            </w:pPr>
            <w:r w:rsidRPr="00E803D3">
              <w:rPr>
                <w:sz w:val="16"/>
                <w:szCs w:val="16"/>
              </w:rPr>
              <w:t xml:space="preserve">Teacher candidates’ work reflects a thorough understanding of professional and pedagogical knowledge and skills delineated in professional, state, and institutional standards.  They develop meaningful learning experiences to facilitate learning for all students. Their work demonstrates knowledge of how students learn and how to make ideas accessible to students. </w:t>
            </w:r>
          </w:p>
        </w:tc>
        <w:tc>
          <w:tcPr>
            <w:tcW w:w="521" w:type="dxa"/>
          </w:tcPr>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b/>
                <w:sz w:val="16"/>
                <w:szCs w:val="16"/>
              </w:rPr>
            </w:pPr>
          </w:p>
          <w:p w:rsidR="00984340" w:rsidRPr="00E803D3" w:rsidRDefault="00984340" w:rsidP="000F7799">
            <w:pPr>
              <w:rPr>
                <w:sz w:val="16"/>
                <w:szCs w:val="16"/>
              </w:rPr>
            </w:pPr>
          </w:p>
        </w:tc>
        <w:tc>
          <w:tcPr>
            <w:tcW w:w="2382" w:type="dxa"/>
          </w:tcPr>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b/>
                <w:sz w:val="16"/>
                <w:szCs w:val="16"/>
              </w:rPr>
            </w:pPr>
            <w:r w:rsidRPr="00E803D3">
              <w:rPr>
                <w:b/>
                <w:sz w:val="16"/>
                <w:szCs w:val="16"/>
              </w:rPr>
              <w:t>Item #1_______</w:t>
            </w:r>
          </w:p>
        </w:tc>
      </w:tr>
      <w:tr w:rsidR="00984340" w:rsidRPr="00E803D3" w:rsidTr="00984340">
        <w:tc>
          <w:tcPr>
            <w:tcW w:w="1726" w:type="dxa"/>
          </w:tcPr>
          <w:p w:rsidR="00984340" w:rsidRPr="00E803D3" w:rsidRDefault="00984340" w:rsidP="000F7799">
            <w:pPr>
              <w:rPr>
                <w:b/>
                <w:sz w:val="16"/>
                <w:szCs w:val="16"/>
              </w:rPr>
            </w:pPr>
            <w:r w:rsidRPr="00E803D3">
              <w:rPr>
                <w:b/>
                <w:sz w:val="16"/>
                <w:szCs w:val="16"/>
              </w:rPr>
              <w:t>Item #2</w:t>
            </w:r>
          </w:p>
          <w:p w:rsidR="00984340" w:rsidRPr="00E803D3" w:rsidRDefault="00984340" w:rsidP="000F7799">
            <w:pPr>
              <w:rPr>
                <w:b/>
                <w:sz w:val="16"/>
                <w:szCs w:val="16"/>
              </w:rPr>
            </w:pPr>
          </w:p>
          <w:p w:rsidR="00984340" w:rsidRPr="00E803D3" w:rsidRDefault="00984340" w:rsidP="000F7799">
            <w:pPr>
              <w:rPr>
                <w:b/>
                <w:sz w:val="16"/>
                <w:szCs w:val="16"/>
              </w:rPr>
            </w:pPr>
          </w:p>
          <w:p w:rsidR="00984340" w:rsidRPr="00E803D3" w:rsidRDefault="00984340" w:rsidP="000F7799">
            <w:pPr>
              <w:rPr>
                <w:b/>
                <w:sz w:val="16"/>
                <w:szCs w:val="16"/>
              </w:rPr>
            </w:pPr>
            <w:r w:rsidRPr="00E803D3">
              <w:rPr>
                <w:b/>
                <w:sz w:val="16"/>
                <w:szCs w:val="16"/>
              </w:rPr>
              <w:t>Context for Student Learning</w:t>
            </w:r>
          </w:p>
          <w:p w:rsidR="00984340" w:rsidRPr="00E803D3" w:rsidRDefault="00984340" w:rsidP="000F7799">
            <w:pPr>
              <w:rPr>
                <w:b/>
                <w:sz w:val="16"/>
                <w:szCs w:val="16"/>
              </w:rPr>
            </w:pPr>
          </w:p>
          <w:p w:rsidR="00984340" w:rsidRPr="00E803D3" w:rsidRDefault="00984340" w:rsidP="000F7799">
            <w:pPr>
              <w:rPr>
                <w:i/>
                <w:sz w:val="16"/>
                <w:szCs w:val="16"/>
              </w:rPr>
            </w:pPr>
            <w:r w:rsidRPr="00E803D3">
              <w:rPr>
                <w:i/>
                <w:sz w:val="16"/>
                <w:szCs w:val="16"/>
              </w:rPr>
              <w:t>Standard 1c</w:t>
            </w:r>
          </w:p>
          <w:p w:rsidR="00984340" w:rsidRPr="00E803D3" w:rsidRDefault="00984340" w:rsidP="000F7799">
            <w:pPr>
              <w:rPr>
                <w:b/>
                <w:sz w:val="16"/>
                <w:szCs w:val="16"/>
              </w:rPr>
            </w:pPr>
          </w:p>
        </w:tc>
        <w:tc>
          <w:tcPr>
            <w:tcW w:w="2088" w:type="dxa"/>
          </w:tcPr>
          <w:p w:rsidR="00984340" w:rsidRPr="00E803D3" w:rsidRDefault="00984340" w:rsidP="000F7799">
            <w:pPr>
              <w:rPr>
                <w:sz w:val="16"/>
                <w:szCs w:val="16"/>
              </w:rPr>
            </w:pPr>
            <w:r w:rsidRPr="00E803D3">
              <w:rPr>
                <w:sz w:val="16"/>
                <w:szCs w:val="16"/>
              </w:rPr>
              <w:t>Teacher candidates lack knowledge of school, family, and community contexts, and they are unable to develop learning experiences that draw on students’ prior experience.</w:t>
            </w:r>
          </w:p>
          <w:p w:rsidR="00984340" w:rsidRPr="00E803D3" w:rsidRDefault="00984340" w:rsidP="000F7799">
            <w:pPr>
              <w:rPr>
                <w:b/>
                <w:sz w:val="16"/>
                <w:szCs w:val="16"/>
              </w:rPr>
            </w:pPr>
          </w:p>
          <w:p w:rsidR="00984340" w:rsidRPr="00E803D3" w:rsidRDefault="00984340" w:rsidP="000F7799">
            <w:pPr>
              <w:rPr>
                <w:b/>
                <w:sz w:val="16"/>
                <w:szCs w:val="16"/>
              </w:rPr>
            </w:pPr>
          </w:p>
        </w:tc>
        <w:tc>
          <w:tcPr>
            <w:tcW w:w="2088" w:type="dxa"/>
          </w:tcPr>
          <w:p w:rsidR="00984340" w:rsidRPr="00E803D3" w:rsidRDefault="00984340" w:rsidP="000F7799">
            <w:pPr>
              <w:rPr>
                <w:sz w:val="16"/>
                <w:szCs w:val="16"/>
              </w:rPr>
            </w:pPr>
            <w:r w:rsidRPr="00E803D3">
              <w:rPr>
                <w:sz w:val="16"/>
                <w:szCs w:val="16"/>
              </w:rPr>
              <w:t xml:space="preserve">Teacher candidates consider the school, family, and community contexts in which they work and the prior experience of students to develop learning experiences. </w:t>
            </w:r>
          </w:p>
          <w:p w:rsidR="00984340" w:rsidRPr="00E803D3" w:rsidRDefault="00984340" w:rsidP="000F7799">
            <w:pPr>
              <w:rPr>
                <w:sz w:val="16"/>
                <w:szCs w:val="16"/>
              </w:rPr>
            </w:pPr>
          </w:p>
          <w:p w:rsidR="00984340" w:rsidRPr="00E803D3" w:rsidRDefault="00984340" w:rsidP="000F7799">
            <w:pPr>
              <w:rPr>
                <w:b/>
                <w:sz w:val="16"/>
                <w:szCs w:val="16"/>
              </w:rPr>
            </w:pPr>
          </w:p>
        </w:tc>
        <w:tc>
          <w:tcPr>
            <w:tcW w:w="2088" w:type="dxa"/>
          </w:tcPr>
          <w:p w:rsidR="00984340" w:rsidRPr="00E803D3" w:rsidRDefault="00984340" w:rsidP="000F7799">
            <w:pPr>
              <w:rPr>
                <w:sz w:val="16"/>
                <w:szCs w:val="16"/>
              </w:rPr>
            </w:pPr>
            <w:r w:rsidRPr="00E803D3">
              <w:rPr>
                <w:sz w:val="16"/>
                <w:szCs w:val="16"/>
              </w:rPr>
              <w:t xml:space="preserve">Teacher candidates consider school, family, and community contexts in connecting concepts to students’ prior experience to develop meaningful learning experiences.  </w:t>
            </w:r>
          </w:p>
          <w:p w:rsidR="00984340" w:rsidRPr="00E803D3" w:rsidRDefault="00984340" w:rsidP="000F7799">
            <w:pPr>
              <w:rPr>
                <w:b/>
                <w:sz w:val="16"/>
                <w:szCs w:val="16"/>
              </w:rPr>
            </w:pPr>
          </w:p>
          <w:p w:rsidR="00984340" w:rsidRPr="00E803D3" w:rsidRDefault="00984340" w:rsidP="000F7799">
            <w:pPr>
              <w:rPr>
                <w:b/>
                <w:sz w:val="16"/>
                <w:szCs w:val="16"/>
              </w:rPr>
            </w:pPr>
          </w:p>
        </w:tc>
        <w:tc>
          <w:tcPr>
            <w:tcW w:w="521" w:type="dxa"/>
          </w:tcPr>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tc>
        <w:tc>
          <w:tcPr>
            <w:tcW w:w="2382" w:type="dxa"/>
          </w:tcPr>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b/>
                <w:sz w:val="16"/>
                <w:szCs w:val="16"/>
              </w:rPr>
            </w:pPr>
            <w:r w:rsidRPr="00E803D3">
              <w:rPr>
                <w:b/>
                <w:sz w:val="16"/>
                <w:szCs w:val="16"/>
              </w:rPr>
              <w:t>Item #2_______</w:t>
            </w:r>
          </w:p>
        </w:tc>
      </w:tr>
      <w:tr w:rsidR="00984340" w:rsidRPr="00E803D3" w:rsidTr="00984340">
        <w:tc>
          <w:tcPr>
            <w:tcW w:w="1726" w:type="dxa"/>
          </w:tcPr>
          <w:p w:rsidR="00984340" w:rsidRPr="00E803D3" w:rsidRDefault="00984340" w:rsidP="000F7799">
            <w:pPr>
              <w:rPr>
                <w:b/>
                <w:sz w:val="16"/>
                <w:szCs w:val="16"/>
              </w:rPr>
            </w:pPr>
            <w:r w:rsidRPr="00E803D3">
              <w:rPr>
                <w:b/>
                <w:sz w:val="16"/>
                <w:szCs w:val="16"/>
              </w:rPr>
              <w:t>Item #3</w:t>
            </w:r>
          </w:p>
          <w:p w:rsidR="00984340" w:rsidRPr="00E803D3" w:rsidRDefault="00984340" w:rsidP="000F7799">
            <w:pPr>
              <w:rPr>
                <w:b/>
                <w:sz w:val="16"/>
                <w:szCs w:val="16"/>
              </w:rPr>
            </w:pPr>
          </w:p>
          <w:p w:rsidR="00984340" w:rsidRPr="00E803D3" w:rsidRDefault="00984340" w:rsidP="000F7799">
            <w:pPr>
              <w:rPr>
                <w:b/>
                <w:sz w:val="16"/>
                <w:szCs w:val="16"/>
              </w:rPr>
            </w:pPr>
          </w:p>
          <w:p w:rsidR="00984340" w:rsidRPr="00E803D3" w:rsidRDefault="00984340" w:rsidP="000F7799">
            <w:pPr>
              <w:rPr>
                <w:b/>
                <w:sz w:val="16"/>
                <w:szCs w:val="16"/>
              </w:rPr>
            </w:pPr>
            <w:r w:rsidRPr="00E803D3">
              <w:rPr>
                <w:b/>
                <w:sz w:val="16"/>
                <w:szCs w:val="16"/>
              </w:rPr>
              <w:t>Reflection on Practice and Student Learning</w:t>
            </w:r>
          </w:p>
          <w:p w:rsidR="00984340" w:rsidRPr="00E803D3" w:rsidRDefault="00984340" w:rsidP="000F7799">
            <w:pPr>
              <w:rPr>
                <w:b/>
                <w:sz w:val="16"/>
                <w:szCs w:val="16"/>
              </w:rPr>
            </w:pPr>
          </w:p>
          <w:p w:rsidR="00984340" w:rsidRPr="00E803D3" w:rsidRDefault="00984340" w:rsidP="000F7799">
            <w:pPr>
              <w:rPr>
                <w:i/>
                <w:sz w:val="16"/>
                <w:szCs w:val="16"/>
              </w:rPr>
            </w:pPr>
            <w:r w:rsidRPr="00E803D3">
              <w:rPr>
                <w:i/>
                <w:sz w:val="16"/>
                <w:szCs w:val="16"/>
              </w:rPr>
              <w:t>Standard 1c</w:t>
            </w:r>
          </w:p>
        </w:tc>
        <w:tc>
          <w:tcPr>
            <w:tcW w:w="2088" w:type="dxa"/>
          </w:tcPr>
          <w:p w:rsidR="00984340" w:rsidRPr="00E803D3" w:rsidRDefault="00984340" w:rsidP="000F7799">
            <w:pPr>
              <w:rPr>
                <w:sz w:val="16"/>
                <w:szCs w:val="16"/>
              </w:rPr>
            </w:pPr>
            <w:r w:rsidRPr="00E803D3">
              <w:rPr>
                <w:sz w:val="16"/>
                <w:szCs w:val="16"/>
              </w:rPr>
              <w:t>Candidates do not reflect on their work, nor do they use current research to inform their practice.</w:t>
            </w: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b/>
                <w:sz w:val="16"/>
                <w:szCs w:val="16"/>
              </w:rPr>
            </w:pPr>
          </w:p>
          <w:p w:rsidR="00984340" w:rsidRPr="00E803D3" w:rsidRDefault="00984340" w:rsidP="000F7799">
            <w:pPr>
              <w:rPr>
                <w:b/>
                <w:sz w:val="16"/>
                <w:szCs w:val="16"/>
              </w:rPr>
            </w:pPr>
          </w:p>
        </w:tc>
        <w:tc>
          <w:tcPr>
            <w:tcW w:w="2088" w:type="dxa"/>
          </w:tcPr>
          <w:p w:rsidR="00984340" w:rsidRPr="00E803D3" w:rsidRDefault="00984340" w:rsidP="000F7799">
            <w:pPr>
              <w:rPr>
                <w:sz w:val="16"/>
                <w:szCs w:val="16"/>
              </w:rPr>
            </w:pPr>
            <w:r w:rsidRPr="00E803D3">
              <w:rPr>
                <w:sz w:val="16"/>
                <w:szCs w:val="16"/>
              </w:rPr>
              <w:t xml:space="preserve">Candidates reflect on their practice and make necessary adjustments to enhance student learning. </w:t>
            </w: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b/>
                <w:sz w:val="16"/>
                <w:szCs w:val="16"/>
              </w:rPr>
            </w:pPr>
          </w:p>
          <w:p w:rsidR="00984340" w:rsidRPr="00E803D3" w:rsidRDefault="00984340" w:rsidP="000F7799">
            <w:pPr>
              <w:rPr>
                <w:b/>
                <w:sz w:val="16"/>
                <w:szCs w:val="16"/>
              </w:rPr>
            </w:pPr>
          </w:p>
        </w:tc>
        <w:tc>
          <w:tcPr>
            <w:tcW w:w="2088" w:type="dxa"/>
          </w:tcPr>
          <w:p w:rsidR="00984340" w:rsidRPr="00E803D3" w:rsidRDefault="00984340" w:rsidP="000F7799">
            <w:pPr>
              <w:rPr>
                <w:sz w:val="16"/>
                <w:szCs w:val="16"/>
              </w:rPr>
            </w:pPr>
            <w:r w:rsidRPr="00E803D3">
              <w:rPr>
                <w:sz w:val="16"/>
                <w:szCs w:val="16"/>
              </w:rPr>
              <w:t xml:space="preserve">Candidates reflect on their practice and make creative adjustments to enhance student learning. They are able to incorporate educational research findings into their practice as appropriate.  </w:t>
            </w:r>
          </w:p>
          <w:p w:rsidR="00984340" w:rsidRPr="00E803D3" w:rsidRDefault="00984340" w:rsidP="000F7799">
            <w:pPr>
              <w:rPr>
                <w:sz w:val="16"/>
                <w:szCs w:val="16"/>
              </w:rPr>
            </w:pPr>
            <w:r w:rsidRPr="00E803D3">
              <w:rPr>
                <w:sz w:val="16"/>
                <w:szCs w:val="16"/>
              </w:rPr>
              <w:t xml:space="preserve">  </w:t>
            </w:r>
          </w:p>
          <w:p w:rsidR="00984340" w:rsidRPr="00E803D3" w:rsidRDefault="00984340" w:rsidP="000F7799">
            <w:pPr>
              <w:rPr>
                <w:b/>
                <w:sz w:val="16"/>
                <w:szCs w:val="16"/>
              </w:rPr>
            </w:pPr>
          </w:p>
        </w:tc>
        <w:tc>
          <w:tcPr>
            <w:tcW w:w="521" w:type="dxa"/>
          </w:tcPr>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b/>
                <w:sz w:val="16"/>
                <w:szCs w:val="16"/>
              </w:rPr>
            </w:pPr>
          </w:p>
          <w:p w:rsidR="00984340" w:rsidRPr="00E803D3" w:rsidRDefault="00984340" w:rsidP="000F7799">
            <w:pPr>
              <w:rPr>
                <w:sz w:val="16"/>
                <w:szCs w:val="16"/>
              </w:rPr>
            </w:pPr>
          </w:p>
        </w:tc>
        <w:tc>
          <w:tcPr>
            <w:tcW w:w="2382" w:type="dxa"/>
          </w:tcPr>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b/>
                <w:sz w:val="16"/>
                <w:szCs w:val="16"/>
              </w:rPr>
            </w:pPr>
            <w:r w:rsidRPr="00E803D3">
              <w:rPr>
                <w:b/>
                <w:sz w:val="16"/>
                <w:szCs w:val="16"/>
              </w:rPr>
              <w:t>Item #3_______</w:t>
            </w:r>
          </w:p>
        </w:tc>
      </w:tr>
      <w:tr w:rsidR="00984340" w:rsidRPr="00E803D3" w:rsidTr="00984340">
        <w:tc>
          <w:tcPr>
            <w:tcW w:w="1726" w:type="dxa"/>
          </w:tcPr>
          <w:p w:rsidR="00984340" w:rsidRPr="00E803D3" w:rsidRDefault="00984340" w:rsidP="000F7799">
            <w:pPr>
              <w:rPr>
                <w:b/>
                <w:sz w:val="16"/>
                <w:szCs w:val="16"/>
              </w:rPr>
            </w:pPr>
            <w:r w:rsidRPr="00E803D3">
              <w:rPr>
                <w:b/>
                <w:sz w:val="16"/>
                <w:szCs w:val="16"/>
              </w:rPr>
              <w:t>Item #4</w:t>
            </w:r>
          </w:p>
          <w:p w:rsidR="00984340" w:rsidRPr="00E803D3" w:rsidRDefault="00984340" w:rsidP="000F7799">
            <w:pPr>
              <w:rPr>
                <w:b/>
                <w:sz w:val="16"/>
                <w:szCs w:val="16"/>
              </w:rPr>
            </w:pPr>
          </w:p>
          <w:p w:rsidR="00984340" w:rsidRPr="00E803D3" w:rsidRDefault="00984340" w:rsidP="000F7799">
            <w:pPr>
              <w:rPr>
                <w:b/>
                <w:sz w:val="16"/>
                <w:szCs w:val="16"/>
              </w:rPr>
            </w:pPr>
          </w:p>
          <w:p w:rsidR="00984340" w:rsidRPr="00E803D3" w:rsidRDefault="00984340" w:rsidP="000F7799">
            <w:pPr>
              <w:rPr>
                <w:b/>
                <w:sz w:val="16"/>
                <w:szCs w:val="16"/>
              </w:rPr>
            </w:pPr>
            <w:r w:rsidRPr="00E803D3">
              <w:rPr>
                <w:b/>
                <w:sz w:val="16"/>
                <w:szCs w:val="16"/>
              </w:rPr>
              <w:t>Assessment of Student Learning</w:t>
            </w:r>
          </w:p>
          <w:p w:rsidR="00984340" w:rsidRPr="00E803D3" w:rsidRDefault="00984340" w:rsidP="000F7799">
            <w:pPr>
              <w:rPr>
                <w:b/>
                <w:sz w:val="16"/>
                <w:szCs w:val="16"/>
              </w:rPr>
            </w:pPr>
          </w:p>
          <w:p w:rsidR="00984340" w:rsidRPr="00E803D3" w:rsidRDefault="00984340" w:rsidP="000F7799">
            <w:pPr>
              <w:rPr>
                <w:i/>
                <w:sz w:val="16"/>
                <w:szCs w:val="16"/>
              </w:rPr>
            </w:pPr>
            <w:r w:rsidRPr="00E803D3">
              <w:rPr>
                <w:i/>
                <w:sz w:val="16"/>
                <w:szCs w:val="16"/>
              </w:rPr>
              <w:t>Standard 1d</w:t>
            </w:r>
          </w:p>
        </w:tc>
        <w:tc>
          <w:tcPr>
            <w:tcW w:w="2088" w:type="dxa"/>
          </w:tcPr>
          <w:p w:rsidR="00984340" w:rsidRPr="00E803D3" w:rsidRDefault="00984340" w:rsidP="000F7799">
            <w:pPr>
              <w:rPr>
                <w:sz w:val="16"/>
                <w:szCs w:val="16"/>
              </w:rPr>
            </w:pPr>
            <w:r w:rsidRPr="00E803D3">
              <w:rPr>
                <w:sz w:val="16"/>
                <w:szCs w:val="16"/>
              </w:rPr>
              <w:t>Teacher candidates do not accurately assess student learning or develop learning experiences based on students’ developmental levels or prior experience.</w:t>
            </w: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b/>
                <w:sz w:val="16"/>
                <w:szCs w:val="16"/>
              </w:rPr>
            </w:pPr>
          </w:p>
          <w:p w:rsidR="00984340" w:rsidRPr="00E803D3" w:rsidRDefault="00984340" w:rsidP="000C3914">
            <w:pPr>
              <w:rPr>
                <w:b/>
                <w:sz w:val="16"/>
                <w:szCs w:val="16"/>
              </w:rPr>
            </w:pPr>
          </w:p>
        </w:tc>
        <w:tc>
          <w:tcPr>
            <w:tcW w:w="2088" w:type="dxa"/>
          </w:tcPr>
          <w:p w:rsidR="00984340" w:rsidRPr="00E803D3" w:rsidRDefault="00984340" w:rsidP="000F7799">
            <w:pPr>
              <w:rPr>
                <w:sz w:val="16"/>
                <w:szCs w:val="16"/>
              </w:rPr>
            </w:pPr>
            <w:r w:rsidRPr="00E803D3">
              <w:rPr>
                <w:sz w:val="16"/>
                <w:szCs w:val="16"/>
              </w:rPr>
              <w:t xml:space="preserve">Teacher candidates </w:t>
            </w:r>
            <w:proofErr w:type="spellStart"/>
            <w:r w:rsidRPr="00E803D3">
              <w:rPr>
                <w:sz w:val="16"/>
                <w:szCs w:val="16"/>
              </w:rPr>
              <w:t>assess</w:t>
            </w:r>
            <w:proofErr w:type="spellEnd"/>
            <w:r w:rsidRPr="00E803D3">
              <w:rPr>
                <w:sz w:val="16"/>
                <w:szCs w:val="16"/>
              </w:rPr>
              <w:t xml:space="preserve"> and analyze student learning, make appropriate adjustments to instruction, and monitor student progress.  Based on their assessment, they are able to develop and implement meaningful learning experiences for students. </w:t>
            </w: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b/>
                <w:sz w:val="16"/>
                <w:szCs w:val="16"/>
              </w:rPr>
            </w:pPr>
          </w:p>
          <w:p w:rsidR="00984340" w:rsidRPr="00E803D3" w:rsidRDefault="00984340" w:rsidP="000F7799">
            <w:pPr>
              <w:rPr>
                <w:b/>
                <w:sz w:val="16"/>
                <w:szCs w:val="16"/>
              </w:rPr>
            </w:pPr>
          </w:p>
        </w:tc>
        <w:tc>
          <w:tcPr>
            <w:tcW w:w="2088" w:type="dxa"/>
          </w:tcPr>
          <w:p w:rsidR="00984340" w:rsidRPr="00E803D3" w:rsidRDefault="00984340" w:rsidP="000F7799">
            <w:pPr>
              <w:rPr>
                <w:sz w:val="16"/>
                <w:szCs w:val="16"/>
              </w:rPr>
            </w:pPr>
            <w:r w:rsidRPr="00E803D3">
              <w:rPr>
                <w:sz w:val="16"/>
                <w:szCs w:val="16"/>
              </w:rPr>
              <w:t xml:space="preserve">Teacher candidates focus on student learning and study the effects of their work.  They are able to develop and implement meaningful learning experiences for students based on their developmental level and prior experience. They </w:t>
            </w:r>
            <w:proofErr w:type="spellStart"/>
            <w:r w:rsidRPr="00E803D3">
              <w:rPr>
                <w:sz w:val="16"/>
                <w:szCs w:val="16"/>
              </w:rPr>
              <w:t>assess</w:t>
            </w:r>
            <w:proofErr w:type="spellEnd"/>
            <w:r w:rsidRPr="00E803D3">
              <w:rPr>
                <w:sz w:val="16"/>
                <w:szCs w:val="16"/>
              </w:rPr>
              <w:t xml:space="preserve"> and analyze student learning, make appropriate adjustments to instruction, monitor student learning, and have a positive effect on learning for all students.</w:t>
            </w:r>
          </w:p>
          <w:p w:rsidR="00984340" w:rsidRPr="00E803D3" w:rsidRDefault="00984340" w:rsidP="00CA19B2">
            <w:pPr>
              <w:rPr>
                <w:b/>
                <w:sz w:val="16"/>
                <w:szCs w:val="16"/>
              </w:rPr>
            </w:pPr>
          </w:p>
          <w:p w:rsidR="00984340" w:rsidRPr="00E803D3" w:rsidRDefault="00984340" w:rsidP="00CA19B2">
            <w:pPr>
              <w:rPr>
                <w:b/>
                <w:sz w:val="16"/>
                <w:szCs w:val="16"/>
              </w:rPr>
            </w:pPr>
          </w:p>
        </w:tc>
        <w:tc>
          <w:tcPr>
            <w:tcW w:w="521" w:type="dxa"/>
          </w:tcPr>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p w:rsidR="00984340" w:rsidRPr="00E803D3" w:rsidRDefault="00984340" w:rsidP="000F7799">
            <w:pPr>
              <w:rPr>
                <w:sz w:val="16"/>
                <w:szCs w:val="16"/>
              </w:rPr>
            </w:pPr>
          </w:p>
        </w:tc>
        <w:tc>
          <w:tcPr>
            <w:tcW w:w="2382" w:type="dxa"/>
          </w:tcPr>
          <w:p w:rsidR="00984340" w:rsidRPr="00E803D3" w:rsidRDefault="00984340" w:rsidP="000F7799">
            <w:pPr>
              <w:rPr>
                <w:sz w:val="16"/>
                <w:szCs w:val="16"/>
              </w:rPr>
            </w:pPr>
          </w:p>
          <w:p w:rsidR="00E803D3" w:rsidRPr="00E803D3" w:rsidRDefault="00E803D3" w:rsidP="000F7799">
            <w:pPr>
              <w:rPr>
                <w:sz w:val="16"/>
                <w:szCs w:val="16"/>
              </w:rPr>
            </w:pPr>
          </w:p>
          <w:p w:rsidR="00E803D3" w:rsidRPr="00E803D3" w:rsidRDefault="00E803D3" w:rsidP="000F7799">
            <w:pPr>
              <w:rPr>
                <w:sz w:val="16"/>
                <w:szCs w:val="16"/>
              </w:rPr>
            </w:pPr>
          </w:p>
          <w:p w:rsidR="00E803D3" w:rsidRPr="00E803D3" w:rsidRDefault="00E803D3" w:rsidP="000F7799">
            <w:pPr>
              <w:rPr>
                <w:b/>
                <w:sz w:val="16"/>
                <w:szCs w:val="16"/>
              </w:rPr>
            </w:pPr>
            <w:r w:rsidRPr="00E803D3">
              <w:rPr>
                <w:b/>
                <w:sz w:val="16"/>
                <w:szCs w:val="16"/>
              </w:rPr>
              <w:t>Item #4_______</w:t>
            </w:r>
          </w:p>
        </w:tc>
      </w:tr>
    </w:tbl>
    <w:p w:rsidR="006D71F3" w:rsidRPr="00E803D3" w:rsidRDefault="006D71F3" w:rsidP="00E803D3">
      <w:pPr>
        <w:rPr>
          <w:sz w:val="16"/>
          <w:szCs w:val="16"/>
        </w:rPr>
      </w:pPr>
    </w:p>
    <w:sectPr w:rsidR="006D71F3" w:rsidRPr="00E803D3" w:rsidSect="00E803D3">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B2FF0"/>
    <w:rsid w:val="00000F5D"/>
    <w:rsid w:val="0007270F"/>
    <w:rsid w:val="000C3914"/>
    <w:rsid w:val="001A1673"/>
    <w:rsid w:val="00235968"/>
    <w:rsid w:val="003339E5"/>
    <w:rsid w:val="00666AED"/>
    <w:rsid w:val="00684E25"/>
    <w:rsid w:val="006A5816"/>
    <w:rsid w:val="006D71F3"/>
    <w:rsid w:val="00763DA8"/>
    <w:rsid w:val="008B2E56"/>
    <w:rsid w:val="00984340"/>
    <w:rsid w:val="009B2FF0"/>
    <w:rsid w:val="00CA19B2"/>
    <w:rsid w:val="00CC146B"/>
    <w:rsid w:val="00E355C8"/>
    <w:rsid w:val="00E803D3"/>
    <w:rsid w:val="00EB297C"/>
    <w:rsid w:val="00F73A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F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2F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SUNY Cortland</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 Cortland</dc:creator>
  <cp:keywords/>
  <dc:description/>
  <cp:lastModifiedBy>SUNY Cortland</cp:lastModifiedBy>
  <cp:revision>4</cp:revision>
  <cp:lastPrinted>2012-06-27T16:26:00Z</cp:lastPrinted>
  <dcterms:created xsi:type="dcterms:W3CDTF">2012-06-27T16:26:00Z</dcterms:created>
  <dcterms:modified xsi:type="dcterms:W3CDTF">2012-06-27T18:47:00Z</dcterms:modified>
</cp:coreProperties>
</file>